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Garamond" w:cs="Garamond" w:eastAsia="Garamond" w:hAnsi="Garamond"/>
          <w:b/>
          <w:bCs/>
          <w:color w:val="111111"/>
          <w:sz w:val="72"/>
          <w:szCs w:val="72"/>
        </w:rPr>
        <w:t xml:space="preserve">CARLOS MENDEZ</w:t>
      </w:r>
    </w:p>
    <w:p>
      <w:pPr>
        <w:spacing w:after="60"/>
        <w:jc w:val="center"/>
      </w:pPr>
      <w:r>
        <w:rPr>
          <w:rFonts w:ascii="Garamond" w:cs="Garamond" w:eastAsia="Garamond" w:hAnsi="Garamond"/>
          <w:color w:val="D4A017"/>
          <w:sz w:val="26"/>
          <w:szCs w:val="26"/>
        </w:rPr>
        <w:t xml:space="preserve">Vice President of Sales  ·  Enterprise Revenue Leader</w:t>
      </w:r>
    </w:p>
    <w:p>
      <w:pPr>
        <w:spacing w:after="20"/>
        <w:jc w:val="center"/>
      </w:pPr>
      <w:r>
        <w:rPr>
          <w:rFonts w:ascii="Garamond" w:cs="Garamond" w:eastAsia="Garamond" w:hAnsi="Garamond"/>
          <w:color w:val="555555"/>
          <w:sz w:val="20"/>
          <w:szCs w:val="20"/>
        </w:rPr>
        <w:t xml:space="preserve">carlos.mendez@email.com   |   (305) 555-0193   |   Miami, FL   |   linkedin.com/in/carlosmendez-sales</w:t>
      </w:r>
    </w:p>
    <w:p>
      <w:pPr>
        <w:pBdr>
          <w:top w:val="double" w:color="D4A017" w:sz="8" w:space="4"/>
          <w:bottom w:val="single" w:color="D4A017" w:sz="2" w:space="1"/>
        </w:pBdr>
        <w:spacing w:after="0"/>
      </w:pPr>
    </w:p>
    <w:p>
      <w:pPr>
        <w:spacing w:after="120"/>
      </w:pPr>
    </w:p>
    <w:p>
      <w:pPr>
        <w:pBdr>
          <w:top w:val="single" w:color="D4A017" w:sz="4" w:space="2"/>
          <w:bottom w:val="single" w:color="D4A017" w:sz="4" w:space="4"/>
        </w:pBdr>
        <w:spacing w:after="80" w:before="220"/>
      </w:pPr>
      <w:r>
        <w:rPr>
          <w:rFonts w:ascii="Garamond" w:cs="Garamond" w:eastAsia="Garamond" w:hAnsi="Garamond"/>
          <w:b/>
          <w:bCs/>
          <w:caps/>
          <w:color w:val="111111"/>
          <w:sz w:val="22"/>
          <w:szCs w:val="22"/>
        </w:rPr>
        <w:t xml:space="preserve">Executive Profile</w:t>
      </w:r>
    </w:p>
    <w:p>
      <w:pPr>
        <w:spacing w:after="120"/>
      </w:pPr>
      <w:r>
        <w:rPr>
          <w:rFonts w:ascii="Garamond" w:cs="Garamond" w:eastAsia="Garamond" w:hAnsi="Garamond"/>
          <w:sz w:val="20"/>
          <w:szCs w:val="20"/>
        </w:rPr>
        <w:t xml:space="preserve">Dynamic VP of Sales with 15 years of enterprise B2B sales leadership, consistently delivering $50M–$200M in annual revenue. Expert in building and coaching high-performance sales teams, enterprise account strategy, and SaaS revenue operations. Proven success closing complex, multi-stakeholder deals in financial services, healthcare, and technology verticals. Named to Salesforce's Top 100 Sales Leaders list in 2022.</w:t>
      </w:r>
    </w:p>
    <w:tbl>
      <w:tblPr>
        <w:tblW w:type="dxa" w:w="10080"/>
        <w:tblBorders>
          <w:top w:val="single" w:color="D4A017" w:sz="2"/>
          <w:left w:val="none"/>
          <w:bottom w:val="single" w:color="D4A017" w:sz="2"/>
          <w:right w:val="none"/>
          <w:insideH w:val="single" w:color="auto" w:sz="4"/>
          <w:insideV w:val="single" w:color="auto" w:sz="4"/>
        </w:tblBorders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111111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D4A017"/>
                <w:sz w:val="18"/>
                <w:szCs w:val="18"/>
              </w:rPr>
              <w:t xml:space="preserve">$200M Revenue Led</w:t>
            </w:r>
          </w:p>
        </w:tc>
        <w:tc>
          <w:tcPr>
            <w:tcW w:type="dxa" w:w="2016"/>
            <w:shd w:fill="FFFBF0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111111"/>
                <w:sz w:val="18"/>
                <w:szCs w:val="18"/>
              </w:rPr>
              <w:t xml:space="preserve">138% Quota Avg.</w:t>
            </w:r>
          </w:p>
        </w:tc>
        <w:tc>
          <w:tcPr>
            <w:tcW w:type="dxa" w:w="2016"/>
            <w:shd w:fill="111111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D4A017"/>
                <w:sz w:val="18"/>
                <w:szCs w:val="18"/>
              </w:rPr>
              <w:t xml:space="preserve">35-Person Team</w:t>
            </w:r>
          </w:p>
        </w:tc>
        <w:tc>
          <w:tcPr>
            <w:tcW w:type="dxa" w:w="2016"/>
            <w:shd w:fill="FFFBF0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111111"/>
                <w:sz w:val="18"/>
                <w:szCs w:val="18"/>
              </w:rPr>
              <w:t xml:space="preserve">48-Month Streak</w:t>
            </w:r>
          </w:p>
        </w:tc>
        <w:tc>
          <w:tcPr>
            <w:tcW w:type="dxa" w:w="2016"/>
            <w:shd w:fill="111111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D4A017"/>
                <w:sz w:val="18"/>
                <w:szCs w:val="18"/>
              </w:rPr>
              <w:t xml:space="preserve">$8M Largest Deal</w:t>
            </w:r>
          </w:p>
        </w:tc>
      </w:tr>
    </w:tbl>
    <w:p>
      <w:pPr>
        <w:spacing w:after="100"/>
      </w:pPr>
    </w:p>
    <w:p>
      <w:pPr>
        <w:pBdr>
          <w:top w:val="single" w:color="D4A017" w:sz="4" w:space="2"/>
          <w:bottom w:val="single" w:color="D4A017" w:sz="4" w:space="4"/>
        </w:pBdr>
        <w:spacing w:after="80" w:before="220"/>
      </w:pPr>
      <w:r>
        <w:rPr>
          <w:rFonts w:ascii="Garamond" w:cs="Garamond" w:eastAsia="Garamond" w:hAnsi="Garamond"/>
          <w:b/>
          <w:bCs/>
          <w:caps/>
          <w:color w:val="111111"/>
          <w:sz w:val="22"/>
          <w:szCs w:val="22"/>
        </w:rPr>
        <w:t xml:space="preserve">Professional Experience</w:t>
      </w:r>
    </w:p>
    <w:p>
      <w:pPr>
        <w:spacing w:after="40" w:before="160"/>
      </w:pPr>
      <w:r>
        <w:rPr>
          <w:rFonts w:ascii="Garamond" w:cs="Garamond" w:eastAsia="Garamond" w:hAnsi="Garamond"/>
          <w:b/>
          <w:bCs/>
          <w:color w:val="111111"/>
          <w:sz w:val="23"/>
          <w:szCs w:val="23"/>
        </w:rPr>
        <w:t xml:space="preserve">Vice President of Sales, Americas</w:t>
      </w:r>
      <w:r>
        <w:rPr>
          <w:rFonts w:ascii="Garamond" w:cs="Garamond" w:eastAsia="Garamond" w:hAnsi="Garamond"/>
          <w:color w:val="444444"/>
          <w:sz w:val="22"/>
          <w:szCs w:val="22"/>
        </w:rPr>
        <w:t xml:space="preserve">  |  Salesforce</w:t>
      </w:r>
      <w:r>
        <w:rPr>
          <w:rFonts w:ascii="Garamond" w:cs="Garamond" w:eastAsia="Garamond" w:hAnsi="Garamond"/>
          <w:i/>
          <w:iCs/>
          <w:color w:val="D4A017"/>
          <w:sz w:val="19"/>
          <w:szCs w:val="19"/>
        </w:rPr>
        <w:t xml:space="preserve">  |  Jan 2020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Lead a 35-person enterprise sales organization generating $200M+ ARR across Financial Services and Healthcare verticals.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Achieved 138% of quota in 2023 and 122% in 2022, ranking #1 VP in Americas region both years.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Closed the company's largest single-contract deal — $8M 5-year enterprise agreement with a top-10 US bank.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Reduced average sales cycle by 22% through implementing a MEDDIC-based qualification framework across the team.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Recruited, onboarded, and developed 18 AEs; 6 promoted to Senior AE or Manager roles within 2 years.</w:t>
      </w:r>
    </w:p>
    <w:p>
      <w:pPr>
        <w:spacing w:after="40" w:before="160"/>
      </w:pPr>
      <w:r>
        <w:rPr>
          <w:rFonts w:ascii="Garamond" w:cs="Garamond" w:eastAsia="Garamond" w:hAnsi="Garamond"/>
          <w:b/>
          <w:bCs/>
          <w:color w:val="111111"/>
          <w:sz w:val="23"/>
          <w:szCs w:val="23"/>
        </w:rPr>
        <w:t xml:space="preserve">Regional Sales Director</w:t>
      </w:r>
      <w:r>
        <w:rPr>
          <w:rFonts w:ascii="Garamond" w:cs="Garamond" w:eastAsia="Garamond" w:hAnsi="Garamond"/>
          <w:color w:val="444444"/>
          <w:sz w:val="22"/>
          <w:szCs w:val="22"/>
        </w:rPr>
        <w:t xml:space="preserve">  |  HubSpot</w:t>
      </w:r>
      <w:r>
        <w:rPr>
          <w:rFonts w:ascii="Garamond" w:cs="Garamond" w:eastAsia="Garamond" w:hAnsi="Garamond"/>
          <w:i/>
          <w:iCs/>
          <w:color w:val="D4A017"/>
          <w:sz w:val="19"/>
          <w:szCs w:val="19"/>
        </w:rPr>
        <w:t xml:space="preserve">  |  May 2015 – Dec 2019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Scaled the Southeast region from $12M to $67M ARR over 4 years, consistently ranked top 3 region nationally.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Built and managed a team of 12 Account Executives and 4 BDRs; maintained team quota attainment above 110% for 48 consecutive months.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Launched a vertical-specific go-to-market strategy for legal and professional services, adding $8M in net new ARR in year 1.</w:t>
      </w:r>
    </w:p>
    <w:p>
      <w:pPr>
        <w:spacing w:after="40" w:before="160"/>
      </w:pPr>
      <w:r>
        <w:rPr>
          <w:rFonts w:ascii="Garamond" w:cs="Garamond" w:eastAsia="Garamond" w:hAnsi="Garamond"/>
          <w:b/>
          <w:bCs/>
          <w:color w:val="111111"/>
          <w:sz w:val="23"/>
          <w:szCs w:val="23"/>
        </w:rPr>
        <w:t xml:space="preserve">Senior Account Executive</w:t>
      </w:r>
      <w:r>
        <w:rPr>
          <w:rFonts w:ascii="Garamond" w:cs="Garamond" w:eastAsia="Garamond" w:hAnsi="Garamond"/>
          <w:color w:val="444444"/>
          <w:sz w:val="22"/>
          <w:szCs w:val="22"/>
        </w:rPr>
        <w:t xml:space="preserve">  |  Oracle</w:t>
      </w:r>
      <w:r>
        <w:rPr>
          <w:rFonts w:ascii="Garamond" w:cs="Garamond" w:eastAsia="Garamond" w:hAnsi="Garamond"/>
          <w:i/>
          <w:iCs/>
          <w:color w:val="D4A017"/>
          <w:sz w:val="19"/>
          <w:szCs w:val="19"/>
        </w:rPr>
        <w:t xml:space="preserve">  |  Jun 2010 – Apr 2015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Generated $15M in new logo revenue annually, ranking in the top 5% of AEs company-wide for 3 years.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Navigated complex 12–18 month enterprise sales cycles involving C-suite, legal, procurement, and IT stakeholders.</w:t>
      </w:r>
    </w:p>
    <w:p>
      <w:pPr>
        <w:pBdr>
          <w:top w:val="single" w:color="D4A017" w:sz="4" w:space="2"/>
          <w:bottom w:val="single" w:color="D4A017" w:sz="4" w:space="4"/>
        </w:pBdr>
        <w:spacing w:after="80" w:before="220"/>
      </w:pPr>
      <w:r>
        <w:rPr>
          <w:rFonts w:ascii="Garamond" w:cs="Garamond" w:eastAsia="Garamond" w:hAnsi="Garamond"/>
          <w:b/>
          <w:bCs/>
          <w:caps/>
          <w:color w:val="111111"/>
          <w:sz w:val="22"/>
          <w:szCs w:val="22"/>
        </w:rPr>
        <w:t xml:space="preserve">Education &amp; Recognition</w:t>
      </w:r>
    </w:p>
    <w:p>
      <w:pPr>
        <w:spacing w:after="60" w:before="100"/>
      </w:pPr>
      <w:r>
        <w:rPr>
          <w:rFonts w:ascii="Garamond" w:cs="Garamond" w:eastAsia="Garamond" w:hAnsi="Garamond"/>
          <w:b/>
          <w:bCs/>
          <w:sz w:val="22"/>
          <w:szCs w:val="22"/>
        </w:rPr>
        <w:t xml:space="preserve">B.B.A. Business Administration – Finance Concentration</w:t>
      </w:r>
      <w:r>
        <w:rPr>
          <w:rFonts w:ascii="Garamond" w:cs="Garamond" w:eastAsia="Garamond" w:hAnsi="Garamond"/>
          <w:color w:val="555555"/>
          <w:sz w:val="20"/>
          <w:szCs w:val="20"/>
        </w:rPr>
        <w:t xml:space="preserve">  —  University of Miami  |  2010</w:t>
      </w:r>
    </w:p>
    <w:p>
      <w:pPr>
        <w:spacing w:after="60"/>
      </w:pPr>
      <w:r>
        <w:rPr>
          <w:rFonts w:ascii="Garamond" w:cs="Garamond" w:eastAsia="Garamond" w:hAnsi="Garamond"/>
          <w:sz w:val="20"/>
          <w:szCs w:val="20"/>
        </w:rPr>
        <w:t xml:space="preserve">Salesforce Top 100 Sales Leaders (2022)  •  HubSpot President's Club (2016, 2017, 2018, 2019)  •  Oracle Pinnacle Club (2013, 2014)  •  MEDDIC &amp; Challenger Sale Certified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✓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2026-06-28T08:57:47.107Z</dcterms:created>
  <dcterms:modified xsi:type="dcterms:W3CDTF">2026-06-28T08:57:47.109Z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