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color w:val="BF4A0A"/>
          <w:sz w:val="56"/>
          <w:szCs w:val="56"/>
        </w:rPr>
        <w:t xml:space="preserve">DIANA FOSTER</w:t>
      </w:r>
    </w:p>
    <w:p>
      <w:pPr>
        <w:spacing w:after="60"/>
        <w:jc w:val="center"/>
      </w:pPr>
      <w:r>
        <w:rPr>
          <w:rFonts w:ascii="Calibri" w:cs="Calibri" w:eastAsia="Calibri" w:hAnsi="Calibri"/>
          <w:color w:val="555555"/>
          <w:sz w:val="24"/>
          <w:szCs w:val="24"/>
        </w:rPr>
        <w:t xml:space="preserve">HR Director  ·  Talent Acquisition  ·  People &amp; Culture</w:t>
      </w:r>
    </w:p>
    <w:p>
      <w:pPr>
        <w:spacing w:after="40"/>
        <w:jc w:val="center"/>
      </w:pPr>
      <w:r>
        <w:rPr>
          <w:rFonts w:ascii="Calibri" w:cs="Calibri" w:eastAsia="Calibri" w:hAnsi="Calibri"/>
          <w:color w:val="777777"/>
          <w:sz w:val="19"/>
          <w:szCs w:val="19"/>
        </w:rPr>
        <w:t xml:space="preserve">diana.foster@email.com   (469) 555-0382   Dallas, TX   linkedin.com/in/dianafoster</w:t>
      </w:r>
    </w:p>
    <w:p>
      <w:pPr>
        <w:pBdr>
          <w:bottom w:val="double" w:color="BF4A0A" w:sz="6" w:space="4"/>
        </w:pBdr>
        <w:spacing w:after="160"/>
      </w:pPr>
    </w:p>
    <w:p>
      <w:pPr>
        <w:shd w:fill="BF4A0A" w:val="clear"/>
        <w:spacing w:after="80" w:before="24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  <w:highlight w:val="none"/>
          <w:highlightCs w:val="none"/>
        </w:rPr>
        <w:t xml:space="preserve">  PROFESSIONAL SUMMARY  </w:t>
      </w:r>
    </w:p>
    <w:p>
      <w:pPr>
        <w:spacing w:after="120" w:before="100"/>
      </w:pPr>
      <w:r>
        <w:rPr>
          <w:rFonts w:ascii="Calibri" w:cs="Calibri" w:eastAsia="Calibri" w:hAnsi="Calibri"/>
          <w:sz w:val="20"/>
          <w:szCs w:val="20"/>
        </w:rPr>
        <w:t xml:space="preserve">Strategic HR Director with 11 years of progressive experience in talent acquisition, employee relations, HR transformation, and organizational development. Skilled at building people-first cultures that attract, develop, and retain top talent. Track record of reducing turnover by up to 35%, scaling HR operations through hypergrowth, and implementing DEI programs that deliver measurable outcomes.</w:t>
      </w:r>
    </w:p>
    <w:p>
      <w:pPr>
        <w:shd w:fill="BF4A0A" w:val="clear"/>
        <w:spacing w:after="80" w:before="24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  <w:highlight w:val="none"/>
          <w:highlightCs w:val="none"/>
        </w:rPr>
        <w:t xml:space="preserve">  KEY ACHIEVEMENTS  </w:t>
      </w:r>
    </w:p>
    <w:tbl>
      <w:tblPr>
        <w:tblW w:type="dxa" w:w="1008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  <w:shd w:fill="FEF0E7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F4A0A"/>
                <w:sz w:val="36"/>
                <w:szCs w:val="36"/>
              </w:rPr>
              <w:t xml:space="preserve">35%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Turnover reduction</w:t>
            </w:r>
          </w:p>
        </w:tc>
        <w:tc>
          <w:tcPr>
            <w:tcW w:type="dxa" w:w="2520"/>
            <w:shd w:fill="FEF0E7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F4A0A"/>
                <w:sz w:val="36"/>
                <w:szCs w:val="36"/>
              </w:rPr>
              <w:t xml:space="preserve">500+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Hires made annually</w:t>
            </w:r>
          </w:p>
        </w:tc>
        <w:tc>
          <w:tcPr>
            <w:tcW w:type="dxa" w:w="2520"/>
            <w:shd w:fill="FEF0E7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F4A0A"/>
                <w:sz w:val="36"/>
                <w:szCs w:val="36"/>
              </w:rPr>
              <w:t xml:space="preserve">92%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Employee satisfaction</w:t>
            </w:r>
          </w:p>
        </w:tc>
        <w:tc>
          <w:tcPr>
            <w:tcW w:type="dxa" w:w="2520"/>
            <w:shd w:fill="FEF0E7" w:val="clear"/>
            <w:tcMar>
              <w:top w:type="dxa" w:w="120"/>
              <w:left w:type="dxa" w:w="120"/>
              <w:bottom w:type="dxa" w:w="120"/>
              <w:right w:type="dxa" w:w="12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BF4A0A"/>
                <w:sz w:val="36"/>
                <w:szCs w:val="36"/>
              </w:rPr>
              <w:t xml:space="preserve">3x</w:t>
            </w:r>
          </w:p>
          <w:p>
            <w:pPr>
              <w:jc w:val="center"/>
            </w:pPr>
            <w:r>
              <w:rPr>
                <w:rFonts w:ascii="Calibri" w:cs="Calibri" w:eastAsia="Calibri" w:hAnsi="Calibri"/>
                <w:sz w:val="17"/>
                <w:szCs w:val="17"/>
              </w:rPr>
              <w:t xml:space="preserve">Workforce scaled</w:t>
            </w:r>
          </w:p>
        </w:tc>
      </w:tr>
    </w:tbl>
    <w:p>
      <w:pPr>
        <w:spacing w:after="100"/>
      </w:pPr>
    </w:p>
    <w:p>
      <w:pPr>
        <w:shd w:fill="BF4A0A" w:val="clear"/>
        <w:spacing w:after="80" w:before="24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  <w:highlight w:val="none"/>
          <w:highlightCs w:val="none"/>
        </w:rPr>
        <w:t xml:space="preserve">  PROFESSIONAL EXPERIENCE  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F4A0A"/>
          <w:sz w:val="22"/>
          <w:szCs w:val="22"/>
        </w:rPr>
        <w:t xml:space="preserve">HR Director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 | Peloton Interactive</w:t>
      </w:r>
      <w:r>
        <w:rPr>
          <w:rFonts w:ascii="Calibri" w:cs="Calibri" w:eastAsia="Calibri" w:hAnsi="Calibri"/>
          <w:i/>
          <w:iCs/>
          <w:color w:val="888888"/>
          <w:sz w:val="19"/>
          <w:szCs w:val="19"/>
        </w:rPr>
        <w:t xml:space="preserve">  •  Jan 2020 – Present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Lead HR operations for 2,200 US employees, overseeing talent acquisition, compensation, performance, and L&amp;D.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Scaled HR function from 8 to 24 team members during hypergrowth phase, managing 500+ hires in 2021 alone.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Launched DEI initiative increasing underrepresented minority hiring by 42% and women in leadership roles by 28%.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Redesigned performance review process, boosting completion rates from 68% to 97% and manager satisfaction by 44%.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F4A0A"/>
          <w:sz w:val="22"/>
          <w:szCs w:val="22"/>
        </w:rPr>
        <w:t xml:space="preserve">Senior HR Manager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 | Whole Foods Market (Amazon)</w:t>
      </w:r>
      <w:r>
        <w:rPr>
          <w:rFonts w:ascii="Calibri" w:cs="Calibri" w:eastAsia="Calibri" w:hAnsi="Calibri"/>
          <w:i/>
          <w:iCs/>
          <w:color w:val="888888"/>
          <w:sz w:val="19"/>
          <w:szCs w:val="19"/>
        </w:rPr>
        <w:t xml:space="preserve">  •  May 2016 – Dec 2019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Managed HR for a region of 18 stores with 3,200 employees, collaborating with 3 direct HR reports.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Reduced voluntary turnover by 35% through redesigned onboarding, mentorship matching, and career pathing programs.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Negotiated and implemented a new benefits package saving the company $1.2M annually while improving employee satisfaction.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BF4A0A"/>
          <w:sz w:val="22"/>
          <w:szCs w:val="22"/>
        </w:rPr>
        <w:t xml:space="preserve">HR Generalist</w:t>
      </w:r>
      <w:r>
        <w:rPr>
          <w:rFonts w:ascii="Calibri" w:cs="Calibri" w:eastAsia="Calibri" w:hAnsi="Calibri"/>
          <w:color w:val="333333"/>
          <w:sz w:val="21"/>
          <w:szCs w:val="21"/>
        </w:rPr>
        <w:t xml:space="preserve"> | Southwest Airlines</w:t>
      </w:r>
      <w:r>
        <w:rPr>
          <w:rFonts w:ascii="Calibri" w:cs="Calibri" w:eastAsia="Calibri" w:hAnsi="Calibri"/>
          <w:i/>
          <w:iCs/>
          <w:color w:val="888888"/>
          <w:sz w:val="19"/>
          <w:szCs w:val="19"/>
        </w:rPr>
        <w:t xml:space="preserve">  •  Aug 2013 – Apr 2016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Supported full-cycle recruiting for 200+ roles annually across customer service and operations departments.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Administered employee relations cases, maintaining compliance with EEOC, FMLA, ADA, and federal labor law.</w:t>
      </w:r>
    </w:p>
    <w:p>
      <w:pPr>
        <w:shd w:fill="BF4A0A" w:val="clear"/>
        <w:spacing w:after="80" w:before="240"/>
      </w:pPr>
      <w:r>
        <w:rPr>
          <w:rFonts w:ascii="Calibri" w:cs="Calibri" w:eastAsia="Calibri" w:hAnsi="Calibri"/>
          <w:b/>
          <w:bCs/>
          <w:color w:val="FFFFFF"/>
          <w:sz w:val="22"/>
          <w:szCs w:val="22"/>
          <w:highlight w:val="none"/>
          <w:highlightCs w:val="none"/>
        </w:rPr>
        <w:t xml:space="preserve">  EDUCATION &amp; CERTIFICATIONS  </w:t>
      </w:r>
    </w:p>
    <w:p>
      <w:pPr>
        <w:spacing w:after="60" w:before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 Human Resource Management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 —  University of Texas at Austin  |  2013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SHRM-SCP (Senior Certified Professional)  •  PHR (Professional in Human Resources)  •  LinkedIn Certified Recruiter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▪"/>
      <w:lvlJc w:val="left"/>
      <w:pPr>
        <w:ind w:left="54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2026-06-28T08:57:48.136Z</dcterms:created>
  <dcterms:modified xsi:type="dcterms:W3CDTF">2026-06-28T08:57:48.136Z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