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3"/>
      </w:tblGrid>
      <w:tr w:rsidR="00721651" w14:paraId="3AD74D16" w14:textId="77777777" w:rsidTr="00C15649">
        <w:tblPrEx>
          <w:tblCellMar>
            <w:top w:w="0" w:type="dxa"/>
            <w:bottom w:w="0" w:type="dxa"/>
          </w:tblCellMar>
        </w:tblPrEx>
        <w:trPr>
          <w:trHeight w:val="1351"/>
        </w:trPr>
        <w:tc>
          <w:tcPr>
            <w:tcW w:w="0" w:type="auto"/>
            <w:shd w:val="clear" w:color="auto" w:fill="0D7377"/>
            <w:tcMar>
              <w:top w:w="280" w:type="dxa"/>
              <w:left w:w="400" w:type="dxa"/>
              <w:bottom w:w="280" w:type="dxa"/>
              <w:right w:w="400" w:type="dxa"/>
            </w:tcMar>
          </w:tcPr>
          <w:p w14:paraId="23359F14" w14:textId="77777777" w:rsidR="00721651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52"/>
                <w:szCs w:val="52"/>
              </w:rPr>
              <w:t>Dr. Priya Nair, MD, FACP</w:t>
            </w:r>
          </w:p>
          <w:p w14:paraId="5B2497FB" w14:textId="77777777" w:rsidR="00721651" w:rsidRDefault="00000000">
            <w:r>
              <w:rPr>
                <w:rFonts w:ascii="Calibri" w:eastAsia="Calibri" w:hAnsi="Calibri" w:cs="Calibri"/>
                <w:color w:val="E0F4F4"/>
              </w:rPr>
              <w:t>Internal Medicine Physician  |  Clinical Research  |  Health Systems Leadership</w:t>
            </w:r>
          </w:p>
          <w:p w14:paraId="25E77098" w14:textId="77777777" w:rsidR="00721651" w:rsidRDefault="00000000">
            <w:pPr>
              <w:spacing w:before="120"/>
            </w:pPr>
            <w:r>
              <w:rPr>
                <w:rFonts w:ascii="Calibri" w:eastAsia="Calibri" w:hAnsi="Calibri" w:cs="Calibri"/>
                <w:color w:val="CCEEEE"/>
                <w:sz w:val="17"/>
                <w:szCs w:val="17"/>
              </w:rPr>
              <w:t>priya.nair.md@gmail.com  •  (617) 555-0233  •  Boston, MA  •  NPI: 1234567890</w:t>
            </w:r>
          </w:p>
        </w:tc>
      </w:tr>
    </w:tbl>
    <w:p w14:paraId="70B524F9" w14:textId="77777777" w:rsidR="00721651" w:rsidRDefault="00721651">
      <w:pPr>
        <w:spacing w:after="160"/>
      </w:pPr>
    </w:p>
    <w:p w14:paraId="70585872" w14:textId="72052D41" w:rsidR="00721651" w:rsidRDefault="00000000">
      <w:pPr>
        <w:shd w:val="clear" w:color="auto" w:fill="E0F4F4"/>
        <w:spacing w:after="180"/>
      </w:pPr>
      <w:r>
        <w:rPr>
          <w:rFonts w:ascii="Calibri" w:eastAsia="Calibri" w:hAnsi="Calibri" w:cs="Calibri"/>
          <w:color w:val="1C2833"/>
          <w:sz w:val="18"/>
          <w:szCs w:val="18"/>
        </w:rPr>
        <w:t xml:space="preserve">  Board-certified internist with 13 years of clinical experience, research background in chronic disease management, and a passion for patient-centered care. Skilled in diagnostic workup, care coordination, and interdisciplinary team leadership within academic medical </w:t>
      </w:r>
      <w:r w:rsidR="00C15649">
        <w:rPr>
          <w:rFonts w:ascii="Calibri" w:eastAsia="Calibri" w:hAnsi="Calibri" w:cs="Calibri"/>
          <w:color w:val="1C2833"/>
          <w:sz w:val="18"/>
          <w:szCs w:val="18"/>
        </w:rPr>
        <w:t>centre</w:t>
      </w:r>
      <w:r>
        <w:rPr>
          <w:rFonts w:ascii="Calibri" w:eastAsia="Calibri" w:hAnsi="Calibri" w:cs="Calibri"/>
          <w:color w:val="1C2833"/>
          <w:sz w:val="18"/>
          <w:szCs w:val="18"/>
        </w:rPr>
        <w:t xml:space="preserve"> settings.</w:t>
      </w:r>
    </w:p>
    <w:p w14:paraId="0845EE26" w14:textId="77777777" w:rsidR="00721651" w:rsidRDefault="00000000">
      <w:pPr>
        <w:shd w:val="clear" w:color="auto" w:fill="0D7377"/>
        <w:spacing w:before="280" w:after="100"/>
      </w:pPr>
      <w:r>
        <w:rPr>
          <w:rFonts w:ascii="Calibri" w:eastAsia="Calibri" w:hAnsi="Calibri" w:cs="Calibri"/>
          <w:b/>
          <w:bCs/>
          <w:color w:val="FFFFFF"/>
        </w:rPr>
        <w:t xml:space="preserve">  MEDICAL LICENSURE &amp; CREDENTIALS</w:t>
      </w:r>
    </w:p>
    <w:p w14:paraId="7DCDEE75" w14:textId="77777777" w:rsidR="00721651" w:rsidRDefault="00721651">
      <w:pPr>
        <w:spacing w:before="120"/>
      </w:pP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5276"/>
      </w:tblGrid>
      <w:tr w:rsidR="00721651" w14:paraId="31D8FA76" w14:textId="77777777" w:rsidTr="00C15649">
        <w:tblPrEx>
          <w:tblCellMar>
            <w:top w:w="0" w:type="dxa"/>
            <w:bottom w:w="0" w:type="dxa"/>
          </w:tblCellMar>
        </w:tblPrEx>
        <w:trPr>
          <w:trHeight w:val="1629"/>
        </w:trPr>
        <w:tc>
          <w:tcPr>
            <w:tcW w:w="0" w:type="auto"/>
          </w:tcPr>
          <w:p w14:paraId="604209B8" w14:textId="77777777" w:rsidR="00721651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C2833"/>
                <w:sz w:val="18"/>
                <w:szCs w:val="18"/>
              </w:rPr>
              <w:t xml:space="preserve">Medical License: </w:t>
            </w:r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Massachusetts (License #MD-2011-04892), Active</w:t>
            </w:r>
          </w:p>
          <w:p w14:paraId="607BC490" w14:textId="77777777" w:rsidR="00721651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C2833"/>
                <w:sz w:val="18"/>
                <w:szCs w:val="18"/>
              </w:rPr>
              <w:t xml:space="preserve">DEA License: </w:t>
            </w:r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BN4728104 – Active</w:t>
            </w:r>
          </w:p>
          <w:p w14:paraId="0730B7A9" w14:textId="77777777" w:rsidR="00721651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C2833"/>
                <w:sz w:val="18"/>
                <w:szCs w:val="18"/>
              </w:rPr>
              <w:t xml:space="preserve">Board Certification: </w:t>
            </w:r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American Board of Internal Medicine (ABIM)</w:t>
            </w:r>
          </w:p>
          <w:p w14:paraId="73027EB8" w14:textId="77777777" w:rsidR="00721651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C2833"/>
                <w:sz w:val="18"/>
                <w:szCs w:val="18"/>
              </w:rPr>
              <w:t xml:space="preserve">Fellowship: </w:t>
            </w:r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Fellow, American College of Physicians (FACP)</w:t>
            </w:r>
          </w:p>
        </w:tc>
        <w:tc>
          <w:tcPr>
            <w:tcW w:w="0" w:type="auto"/>
          </w:tcPr>
          <w:p w14:paraId="41C45F1E" w14:textId="5FE751A0" w:rsidR="00721651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C2833"/>
                <w:sz w:val="18"/>
                <w:szCs w:val="18"/>
              </w:rPr>
              <w:t xml:space="preserve">Hospital Privileges: </w:t>
            </w:r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 xml:space="preserve">Massachusetts General Hospital, Tufts Medical </w:t>
            </w:r>
            <w:r w:rsidR="00C15649"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Centre</w:t>
            </w:r>
          </w:p>
          <w:p w14:paraId="2581C88F" w14:textId="77777777" w:rsidR="00721651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C2833"/>
                <w:sz w:val="18"/>
                <w:szCs w:val="18"/>
              </w:rPr>
              <w:t xml:space="preserve">NPI Number: </w:t>
            </w:r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1234567890</w:t>
            </w:r>
          </w:p>
          <w:p w14:paraId="7EF7D470" w14:textId="77777777" w:rsidR="00721651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C2833"/>
                <w:sz w:val="18"/>
                <w:szCs w:val="18"/>
              </w:rPr>
              <w:t xml:space="preserve">BLS/ACLS: </w:t>
            </w:r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Current, AHA Certified</w:t>
            </w:r>
          </w:p>
          <w:p w14:paraId="049DB943" w14:textId="77777777" w:rsidR="00721651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C2833"/>
                <w:sz w:val="18"/>
                <w:szCs w:val="18"/>
              </w:rPr>
              <w:t xml:space="preserve">Malpractice: </w:t>
            </w:r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Clean record, no disciplinary actions</w:t>
            </w:r>
          </w:p>
        </w:tc>
      </w:tr>
    </w:tbl>
    <w:p w14:paraId="6C0D4067" w14:textId="77777777" w:rsidR="00721651" w:rsidRDefault="00000000">
      <w:pPr>
        <w:shd w:val="clear" w:color="auto" w:fill="0D7377"/>
        <w:spacing w:before="280" w:after="100"/>
      </w:pPr>
      <w:r>
        <w:rPr>
          <w:rFonts w:ascii="Calibri" w:eastAsia="Calibri" w:hAnsi="Calibri" w:cs="Calibri"/>
          <w:b/>
          <w:bCs/>
          <w:color w:val="FFFFFF"/>
        </w:rPr>
        <w:t xml:space="preserve">  CLINICAL EXPERIENCE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8"/>
        <w:gridCol w:w="2473"/>
      </w:tblGrid>
      <w:tr w:rsidR="00721651" w14:paraId="0F726E9E" w14:textId="77777777" w:rsidTr="00C15649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0" w:type="auto"/>
          </w:tcPr>
          <w:p w14:paraId="536CB0D1" w14:textId="77777777" w:rsidR="00721651" w:rsidRDefault="00000000">
            <w:pPr>
              <w:spacing w:before="160" w:after="20"/>
            </w:pPr>
            <w:r>
              <w:rPr>
                <w:rFonts w:ascii="Calibri" w:eastAsia="Calibri" w:hAnsi="Calibri" w:cs="Calibri"/>
                <w:b/>
                <w:bCs/>
                <w:color w:val="1C2833"/>
              </w:rPr>
              <w:t>Attending Physician, Internal Medicine</w:t>
            </w:r>
          </w:p>
          <w:p w14:paraId="0BC83671" w14:textId="77777777" w:rsidR="00721651" w:rsidRDefault="00000000">
            <w:pPr>
              <w:spacing w:after="60"/>
            </w:pPr>
            <w:r>
              <w:rPr>
                <w:rFonts w:ascii="Calibri" w:eastAsia="Calibri" w:hAnsi="Calibri" w:cs="Calibri"/>
                <w:i/>
                <w:iCs/>
                <w:color w:val="0D7377"/>
                <w:sz w:val="18"/>
                <w:szCs w:val="18"/>
              </w:rPr>
              <w:t>Massachusetts General Hospital</w:t>
            </w:r>
          </w:p>
        </w:tc>
        <w:tc>
          <w:tcPr>
            <w:tcW w:w="0" w:type="auto"/>
          </w:tcPr>
          <w:p w14:paraId="1ADD51D6" w14:textId="77777777" w:rsidR="00721651" w:rsidRDefault="00000000">
            <w:pPr>
              <w:spacing w:before="160"/>
              <w:jc w:val="right"/>
            </w:pPr>
            <w:r>
              <w:rPr>
                <w:rFonts w:ascii="Calibri" w:eastAsia="Calibri" w:hAnsi="Calibri" w:cs="Calibri"/>
                <w:color w:val="5D6D7E"/>
                <w:sz w:val="17"/>
                <w:szCs w:val="17"/>
              </w:rPr>
              <w:t>2016 – Present</w:t>
            </w:r>
          </w:p>
          <w:p w14:paraId="37994ED7" w14:textId="77777777" w:rsidR="00721651" w:rsidRDefault="00000000">
            <w:pPr>
              <w:jc w:val="right"/>
            </w:pPr>
            <w:r>
              <w:rPr>
                <w:rFonts w:ascii="Calibri" w:eastAsia="Calibri" w:hAnsi="Calibri" w:cs="Calibri"/>
                <w:color w:val="5D6D7E"/>
                <w:sz w:val="17"/>
                <w:szCs w:val="17"/>
              </w:rPr>
              <w:t>Boston, MA</w:t>
            </w:r>
          </w:p>
        </w:tc>
      </w:tr>
    </w:tbl>
    <w:p w14:paraId="340A5514" w14:textId="77777777" w:rsidR="00721651" w:rsidRDefault="00000000">
      <w:pPr>
        <w:spacing w:after="60"/>
        <w:ind w:left="360" w:hanging="200"/>
      </w:pPr>
      <w:r>
        <w:rPr>
          <w:rFonts w:ascii="Calibri" w:eastAsia="Calibri" w:hAnsi="Calibri" w:cs="Calibri"/>
          <w:color w:val="0D7377"/>
          <w:sz w:val="16"/>
          <w:szCs w:val="16"/>
        </w:rPr>
        <w:t xml:space="preserve">✦ </w:t>
      </w:r>
      <w:r>
        <w:rPr>
          <w:rFonts w:ascii="Calibri" w:eastAsia="Calibri" w:hAnsi="Calibri" w:cs="Calibri"/>
          <w:color w:val="333333"/>
          <w:sz w:val="18"/>
          <w:szCs w:val="18"/>
        </w:rPr>
        <w:t>Manage complex inpatient caseload of 15–20 patients daily, collaborating with specialists in cardiology, nephrology, and oncology</w:t>
      </w:r>
    </w:p>
    <w:p w14:paraId="0B6EA427" w14:textId="77777777" w:rsidR="00721651" w:rsidRDefault="00000000">
      <w:pPr>
        <w:spacing w:after="60"/>
        <w:ind w:left="360" w:hanging="200"/>
      </w:pPr>
      <w:r>
        <w:rPr>
          <w:rFonts w:ascii="Calibri" w:eastAsia="Calibri" w:hAnsi="Calibri" w:cs="Calibri"/>
          <w:color w:val="0D7377"/>
          <w:sz w:val="16"/>
          <w:szCs w:val="16"/>
        </w:rPr>
        <w:t xml:space="preserve">✦ </w:t>
      </w:r>
      <w:r>
        <w:rPr>
          <w:rFonts w:ascii="Calibri" w:eastAsia="Calibri" w:hAnsi="Calibri" w:cs="Calibri"/>
          <w:color w:val="333333"/>
          <w:sz w:val="18"/>
          <w:szCs w:val="18"/>
        </w:rPr>
        <w:t>Serve as medical director of the MGH Diabetes Management Clinic, overseeing care for 800+ enrolled patients</w:t>
      </w:r>
    </w:p>
    <w:p w14:paraId="2E9C3560" w14:textId="77777777" w:rsidR="00721651" w:rsidRDefault="00000000">
      <w:pPr>
        <w:spacing w:after="60"/>
        <w:ind w:left="360" w:hanging="200"/>
      </w:pPr>
      <w:r>
        <w:rPr>
          <w:rFonts w:ascii="Calibri" w:eastAsia="Calibri" w:hAnsi="Calibri" w:cs="Calibri"/>
          <w:color w:val="0D7377"/>
          <w:sz w:val="16"/>
          <w:szCs w:val="16"/>
        </w:rPr>
        <w:t xml:space="preserve">✦ </w:t>
      </w:r>
      <w:r>
        <w:rPr>
          <w:rFonts w:ascii="Calibri" w:eastAsia="Calibri" w:hAnsi="Calibri" w:cs="Calibri"/>
          <w:color w:val="333333"/>
          <w:sz w:val="18"/>
          <w:szCs w:val="18"/>
        </w:rPr>
        <w:t>Reduced 30-day hospital readmission rates by 22% through implementation of discharge care bundles</w:t>
      </w:r>
    </w:p>
    <w:p w14:paraId="39B8691C" w14:textId="77777777" w:rsidR="00721651" w:rsidRDefault="00000000">
      <w:pPr>
        <w:spacing w:after="60"/>
        <w:ind w:left="360" w:hanging="200"/>
      </w:pPr>
      <w:r>
        <w:rPr>
          <w:rFonts w:ascii="Calibri" w:eastAsia="Calibri" w:hAnsi="Calibri" w:cs="Calibri"/>
          <w:color w:val="0D7377"/>
          <w:sz w:val="16"/>
          <w:szCs w:val="16"/>
        </w:rPr>
        <w:t xml:space="preserve">✦ </w:t>
      </w:r>
      <w:r>
        <w:rPr>
          <w:rFonts w:ascii="Calibri" w:eastAsia="Calibri" w:hAnsi="Calibri" w:cs="Calibri"/>
          <w:color w:val="333333"/>
          <w:sz w:val="18"/>
          <w:szCs w:val="18"/>
        </w:rPr>
        <w:t>Supervise and teach 4–6 medical residents per rotation cycle; received 'Outstanding Clinical Educator' award (2019, 2022)</w:t>
      </w:r>
    </w:p>
    <w:p w14:paraId="72A52AB7" w14:textId="77777777" w:rsidR="00721651" w:rsidRDefault="00721651"/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8"/>
        <w:gridCol w:w="2736"/>
      </w:tblGrid>
      <w:tr w:rsidR="00721651" w14:paraId="285D350C" w14:textId="77777777" w:rsidTr="00C15649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0" w:type="auto"/>
          </w:tcPr>
          <w:p w14:paraId="45649CA0" w14:textId="77777777" w:rsidR="00721651" w:rsidRDefault="00000000">
            <w:pPr>
              <w:spacing w:before="160" w:after="20"/>
            </w:pPr>
            <w:r>
              <w:rPr>
                <w:rFonts w:ascii="Calibri" w:eastAsia="Calibri" w:hAnsi="Calibri" w:cs="Calibri"/>
                <w:b/>
                <w:bCs/>
                <w:color w:val="1C2833"/>
              </w:rPr>
              <w:t>Internal Medicine Resident</w:t>
            </w:r>
          </w:p>
          <w:p w14:paraId="3FD98090" w14:textId="77777777" w:rsidR="00721651" w:rsidRDefault="00000000">
            <w:pPr>
              <w:spacing w:after="60"/>
            </w:pPr>
            <w:r>
              <w:rPr>
                <w:rFonts w:ascii="Calibri" w:eastAsia="Calibri" w:hAnsi="Calibri" w:cs="Calibri"/>
                <w:i/>
                <w:iCs/>
                <w:color w:val="0D7377"/>
                <w:sz w:val="18"/>
                <w:szCs w:val="18"/>
              </w:rPr>
              <w:t>Brigham and Women's Hospital</w:t>
            </w:r>
          </w:p>
        </w:tc>
        <w:tc>
          <w:tcPr>
            <w:tcW w:w="0" w:type="auto"/>
          </w:tcPr>
          <w:p w14:paraId="1625F75F" w14:textId="77777777" w:rsidR="00721651" w:rsidRDefault="00000000">
            <w:pPr>
              <w:spacing w:before="160"/>
              <w:jc w:val="right"/>
            </w:pPr>
            <w:r>
              <w:rPr>
                <w:rFonts w:ascii="Calibri" w:eastAsia="Calibri" w:hAnsi="Calibri" w:cs="Calibri"/>
                <w:color w:val="5D6D7E"/>
                <w:sz w:val="17"/>
                <w:szCs w:val="17"/>
              </w:rPr>
              <w:t>2012 – 2015</w:t>
            </w:r>
          </w:p>
          <w:p w14:paraId="498FAFEF" w14:textId="77777777" w:rsidR="00721651" w:rsidRDefault="00000000">
            <w:pPr>
              <w:jc w:val="right"/>
            </w:pPr>
            <w:r>
              <w:rPr>
                <w:rFonts w:ascii="Calibri" w:eastAsia="Calibri" w:hAnsi="Calibri" w:cs="Calibri"/>
                <w:color w:val="5D6D7E"/>
                <w:sz w:val="17"/>
                <w:szCs w:val="17"/>
              </w:rPr>
              <w:t>Boston, MA</w:t>
            </w:r>
          </w:p>
        </w:tc>
      </w:tr>
    </w:tbl>
    <w:p w14:paraId="1AC8E34E" w14:textId="1544B99A" w:rsidR="00721651" w:rsidRDefault="00000000">
      <w:pPr>
        <w:spacing w:after="60"/>
        <w:ind w:left="360" w:hanging="200"/>
      </w:pPr>
      <w:r>
        <w:rPr>
          <w:rFonts w:ascii="Calibri" w:eastAsia="Calibri" w:hAnsi="Calibri" w:cs="Calibri"/>
          <w:color w:val="0D7377"/>
          <w:sz w:val="16"/>
          <w:szCs w:val="16"/>
        </w:rPr>
        <w:t xml:space="preserve">✦ 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Completed residency with </w:t>
      </w:r>
      <w:r w:rsidR="00C15649">
        <w:rPr>
          <w:rFonts w:ascii="Calibri" w:eastAsia="Calibri" w:hAnsi="Calibri" w:cs="Calibri"/>
          <w:color w:val="333333"/>
          <w:sz w:val="18"/>
          <w:szCs w:val="18"/>
        </w:rPr>
        <w:t>honours</w:t>
      </w:r>
      <w:r>
        <w:rPr>
          <w:rFonts w:ascii="Calibri" w:eastAsia="Calibri" w:hAnsi="Calibri" w:cs="Calibri"/>
          <w:color w:val="333333"/>
          <w:sz w:val="18"/>
          <w:szCs w:val="18"/>
        </w:rPr>
        <w:t>; Chief Resident in final year managing scheduling and QI projects</w:t>
      </w:r>
    </w:p>
    <w:p w14:paraId="27C4E7ED" w14:textId="77777777" w:rsidR="00721651" w:rsidRDefault="00000000">
      <w:pPr>
        <w:spacing w:after="60"/>
        <w:ind w:left="360" w:hanging="200"/>
      </w:pPr>
      <w:r>
        <w:rPr>
          <w:rFonts w:ascii="Calibri" w:eastAsia="Calibri" w:hAnsi="Calibri" w:cs="Calibri"/>
          <w:color w:val="0D7377"/>
          <w:sz w:val="16"/>
          <w:szCs w:val="16"/>
        </w:rPr>
        <w:t xml:space="preserve">✦ </w:t>
      </w:r>
      <w:r>
        <w:rPr>
          <w:rFonts w:ascii="Calibri" w:eastAsia="Calibri" w:hAnsi="Calibri" w:cs="Calibri"/>
          <w:color w:val="333333"/>
          <w:sz w:val="18"/>
          <w:szCs w:val="18"/>
        </w:rPr>
        <w:t>Co-authored 3 peer-reviewed publications on hypertension management in chronic kidney disease</w:t>
      </w:r>
    </w:p>
    <w:p w14:paraId="4802389A" w14:textId="77777777" w:rsidR="00721651" w:rsidRDefault="00000000">
      <w:pPr>
        <w:shd w:val="clear" w:color="auto" w:fill="0D7377"/>
        <w:spacing w:before="280" w:after="100"/>
      </w:pPr>
      <w:r>
        <w:rPr>
          <w:rFonts w:ascii="Calibri" w:eastAsia="Calibri" w:hAnsi="Calibri" w:cs="Calibri"/>
          <w:b/>
          <w:bCs/>
          <w:color w:val="FFFFFF"/>
        </w:rPr>
        <w:t xml:space="preserve">  RESEARCH &amp; PUBLICATIONS</w:t>
      </w:r>
    </w:p>
    <w:p w14:paraId="18424D0E" w14:textId="77777777" w:rsidR="00721651" w:rsidRDefault="00000000">
      <w:pPr>
        <w:spacing w:before="140" w:after="60"/>
      </w:pPr>
      <w:r>
        <w:rPr>
          <w:rFonts w:ascii="Calibri" w:eastAsia="Calibri" w:hAnsi="Calibri" w:cs="Calibri"/>
          <w:b/>
          <w:bCs/>
          <w:color w:val="1C2833"/>
          <w:sz w:val="19"/>
          <w:szCs w:val="19"/>
        </w:rPr>
        <w:t>Selected Publications:</w:t>
      </w:r>
    </w:p>
    <w:p w14:paraId="4292D526" w14:textId="77777777" w:rsidR="00721651" w:rsidRDefault="00000000">
      <w:pPr>
        <w:spacing w:after="60"/>
        <w:ind w:left="360" w:hanging="200"/>
      </w:pPr>
      <w:r>
        <w:rPr>
          <w:rFonts w:ascii="Calibri" w:eastAsia="Calibri" w:hAnsi="Calibri" w:cs="Calibri"/>
          <w:color w:val="0D7377"/>
          <w:sz w:val="16"/>
          <w:szCs w:val="16"/>
        </w:rPr>
        <w:t xml:space="preserve">✦ </w:t>
      </w:r>
      <w:r>
        <w:rPr>
          <w:rFonts w:ascii="Calibri" w:eastAsia="Calibri" w:hAnsi="Calibri" w:cs="Calibri"/>
          <w:color w:val="333333"/>
          <w:sz w:val="18"/>
          <w:szCs w:val="18"/>
        </w:rPr>
        <w:t>Nair P, et al. (2022). Intensified Glycemic Control in T2DM: Impact on CV Outcomes. JAMA Internal Medicine.</w:t>
      </w:r>
    </w:p>
    <w:p w14:paraId="1607DC16" w14:textId="77777777" w:rsidR="00721651" w:rsidRDefault="00000000">
      <w:pPr>
        <w:spacing w:after="60"/>
        <w:ind w:left="360" w:hanging="200"/>
      </w:pPr>
      <w:r>
        <w:rPr>
          <w:rFonts w:ascii="Calibri" w:eastAsia="Calibri" w:hAnsi="Calibri" w:cs="Calibri"/>
          <w:color w:val="0D7377"/>
          <w:sz w:val="16"/>
          <w:szCs w:val="16"/>
        </w:rPr>
        <w:t xml:space="preserve">✦ </w:t>
      </w:r>
      <w:r>
        <w:rPr>
          <w:rFonts w:ascii="Calibri" w:eastAsia="Calibri" w:hAnsi="Calibri" w:cs="Calibri"/>
          <w:color w:val="333333"/>
          <w:sz w:val="18"/>
          <w:szCs w:val="18"/>
        </w:rPr>
        <w:t>Nair P, et al. (2019). Care Coordination Models and 30-Day Readmission in Heart Failure. NEJM Catalyst.</w:t>
      </w:r>
    </w:p>
    <w:p w14:paraId="46930432" w14:textId="77777777" w:rsidR="00721651" w:rsidRDefault="00000000">
      <w:pPr>
        <w:spacing w:after="60"/>
        <w:ind w:left="360" w:hanging="200"/>
      </w:pPr>
      <w:r>
        <w:rPr>
          <w:rFonts w:ascii="Calibri" w:eastAsia="Calibri" w:hAnsi="Calibri" w:cs="Calibri"/>
          <w:color w:val="0D7377"/>
          <w:sz w:val="16"/>
          <w:szCs w:val="16"/>
        </w:rPr>
        <w:t xml:space="preserve">✦ </w:t>
      </w:r>
      <w:r>
        <w:rPr>
          <w:rFonts w:ascii="Calibri" w:eastAsia="Calibri" w:hAnsi="Calibri" w:cs="Calibri"/>
          <w:color w:val="333333"/>
          <w:sz w:val="18"/>
          <w:szCs w:val="18"/>
        </w:rPr>
        <w:t>Nair P, et al. (2017). Pharmacologic Approaches to Resistant Hypertension. Annals of Internal Medicine.</w:t>
      </w:r>
    </w:p>
    <w:p w14:paraId="1114C197" w14:textId="77777777" w:rsidR="00721651" w:rsidRDefault="00000000">
      <w:pPr>
        <w:spacing w:before="120" w:after="60"/>
      </w:pPr>
      <w:r>
        <w:rPr>
          <w:rFonts w:ascii="Calibri" w:eastAsia="Calibri" w:hAnsi="Calibri" w:cs="Calibri"/>
          <w:b/>
          <w:bCs/>
          <w:color w:val="1C2833"/>
          <w:sz w:val="19"/>
          <w:szCs w:val="19"/>
        </w:rPr>
        <w:t>Current Research:</w:t>
      </w:r>
    </w:p>
    <w:p w14:paraId="64538602" w14:textId="77777777" w:rsidR="00721651" w:rsidRDefault="00000000">
      <w:pPr>
        <w:spacing w:after="60"/>
        <w:ind w:left="360" w:hanging="200"/>
      </w:pPr>
      <w:r>
        <w:rPr>
          <w:rFonts w:ascii="Calibri" w:eastAsia="Calibri" w:hAnsi="Calibri" w:cs="Calibri"/>
          <w:color w:val="0D7377"/>
          <w:sz w:val="16"/>
          <w:szCs w:val="16"/>
        </w:rPr>
        <w:t xml:space="preserve">✦ </w:t>
      </w:r>
      <w:r>
        <w:rPr>
          <w:rFonts w:ascii="Calibri" w:eastAsia="Calibri" w:hAnsi="Calibri" w:cs="Calibri"/>
          <w:color w:val="333333"/>
          <w:sz w:val="18"/>
          <w:szCs w:val="18"/>
        </w:rPr>
        <w:t>PI, NIH-funded R01 grant: 'AI-Assisted Early Detection of Sepsis in Hospitalized Patients' ($1.2M, 2022–2026)</w:t>
      </w:r>
    </w:p>
    <w:p w14:paraId="7348F7DB" w14:textId="77777777" w:rsidR="00721651" w:rsidRDefault="00000000">
      <w:pPr>
        <w:shd w:val="clear" w:color="auto" w:fill="0D7377"/>
        <w:spacing w:before="280" w:after="100"/>
      </w:pPr>
      <w:r>
        <w:rPr>
          <w:rFonts w:ascii="Calibri" w:eastAsia="Calibri" w:hAnsi="Calibri" w:cs="Calibri"/>
          <w:b/>
          <w:bCs/>
          <w:color w:val="FFFFFF"/>
        </w:rPr>
        <w:t xml:space="preserve">  EDUCATION</w:t>
      </w:r>
    </w:p>
    <w:p w14:paraId="5159736F" w14:textId="77777777" w:rsidR="00721651" w:rsidRDefault="00721651">
      <w:pPr>
        <w:spacing w:before="120"/>
      </w:pPr>
    </w:p>
    <w:tbl>
      <w:tblPr>
        <w:tblW w:w="10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7"/>
        <w:gridCol w:w="891"/>
      </w:tblGrid>
      <w:tr w:rsidR="00721651" w14:paraId="5C35C500" w14:textId="77777777" w:rsidTr="00C15649">
        <w:tblPrEx>
          <w:tblCellMar>
            <w:top w:w="0" w:type="dxa"/>
            <w:bottom w:w="0" w:type="dxa"/>
          </w:tblCellMar>
        </w:tblPrEx>
        <w:trPr>
          <w:trHeight w:val="994"/>
        </w:trPr>
        <w:tc>
          <w:tcPr>
            <w:tcW w:w="0" w:type="auto"/>
          </w:tcPr>
          <w:p w14:paraId="6FAE524C" w14:textId="77777777" w:rsidR="00721651" w:rsidRDefault="00000000">
            <w:r>
              <w:rPr>
                <w:rFonts w:ascii="Calibri" w:eastAsia="Calibri" w:hAnsi="Calibri" w:cs="Calibri"/>
                <w:b/>
                <w:bCs/>
                <w:color w:val="1C2833"/>
                <w:sz w:val="19"/>
                <w:szCs w:val="19"/>
              </w:rPr>
              <w:t>Doctor of Medicine (MD)</w:t>
            </w:r>
          </w:p>
          <w:p w14:paraId="0D9819CF" w14:textId="77777777" w:rsidR="00721651" w:rsidRDefault="00000000">
            <w:pPr>
              <w:spacing w:after="100"/>
            </w:pPr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Harvard Medical School, Boston, MA</w:t>
            </w:r>
          </w:p>
          <w:p w14:paraId="1F22D8C4" w14:textId="77777777" w:rsidR="00721651" w:rsidRDefault="00000000">
            <w:r>
              <w:rPr>
                <w:rFonts w:ascii="Calibri" w:eastAsia="Calibri" w:hAnsi="Calibri" w:cs="Calibri"/>
                <w:b/>
                <w:bCs/>
                <w:color w:val="1C2833"/>
                <w:sz w:val="19"/>
                <w:szCs w:val="19"/>
              </w:rPr>
              <w:t>B.S. Biology, Molecular &amp; Cell (Magna Cum Laude)</w:t>
            </w:r>
          </w:p>
          <w:p w14:paraId="16E2A462" w14:textId="77777777" w:rsidR="00721651" w:rsidRDefault="00000000"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Johns Hopkins University, Baltimore, MD</w:t>
            </w:r>
          </w:p>
        </w:tc>
        <w:tc>
          <w:tcPr>
            <w:tcW w:w="0" w:type="auto"/>
          </w:tcPr>
          <w:p w14:paraId="0FC8FA87" w14:textId="77777777" w:rsidR="00721651" w:rsidRDefault="00000000"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2012</w:t>
            </w:r>
          </w:p>
          <w:p w14:paraId="2C3FC5FD" w14:textId="77777777" w:rsidR="00721651" w:rsidRDefault="00721651">
            <w:pPr>
              <w:spacing w:after="100"/>
            </w:pPr>
          </w:p>
          <w:p w14:paraId="259B568D" w14:textId="77777777" w:rsidR="00721651" w:rsidRDefault="00000000">
            <w:r>
              <w:rPr>
                <w:rFonts w:ascii="Calibri" w:eastAsia="Calibri" w:hAnsi="Calibri" w:cs="Calibri"/>
                <w:color w:val="5D6D7E"/>
                <w:sz w:val="18"/>
                <w:szCs w:val="18"/>
              </w:rPr>
              <w:t>2008</w:t>
            </w:r>
          </w:p>
          <w:p w14:paraId="53541851" w14:textId="77777777" w:rsidR="00721651" w:rsidRDefault="00721651"/>
        </w:tc>
      </w:tr>
    </w:tbl>
    <w:p w14:paraId="15D36838" w14:textId="77777777" w:rsidR="00E951CD" w:rsidRDefault="00E951CD"/>
    <w:sectPr w:rsidR="00E951CD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E7992"/>
    <w:multiLevelType w:val="hybridMultilevel"/>
    <w:tmpl w:val="123A91D2"/>
    <w:lvl w:ilvl="0" w:tplc="AF0E1F48">
      <w:start w:val="1"/>
      <w:numFmt w:val="bullet"/>
      <w:lvlText w:val="●"/>
      <w:lvlJc w:val="left"/>
      <w:pPr>
        <w:ind w:left="720" w:hanging="360"/>
      </w:pPr>
    </w:lvl>
    <w:lvl w:ilvl="1" w:tplc="510A5DC2">
      <w:start w:val="1"/>
      <w:numFmt w:val="bullet"/>
      <w:lvlText w:val="○"/>
      <w:lvlJc w:val="left"/>
      <w:pPr>
        <w:ind w:left="1440" w:hanging="360"/>
      </w:pPr>
    </w:lvl>
    <w:lvl w:ilvl="2" w:tplc="5EA07B6E">
      <w:start w:val="1"/>
      <w:numFmt w:val="bullet"/>
      <w:lvlText w:val="■"/>
      <w:lvlJc w:val="left"/>
      <w:pPr>
        <w:ind w:left="2160" w:hanging="360"/>
      </w:pPr>
    </w:lvl>
    <w:lvl w:ilvl="3" w:tplc="B822A9F8">
      <w:start w:val="1"/>
      <w:numFmt w:val="bullet"/>
      <w:lvlText w:val="●"/>
      <w:lvlJc w:val="left"/>
      <w:pPr>
        <w:ind w:left="2880" w:hanging="360"/>
      </w:pPr>
    </w:lvl>
    <w:lvl w:ilvl="4" w:tplc="29CE4262">
      <w:start w:val="1"/>
      <w:numFmt w:val="bullet"/>
      <w:lvlText w:val="○"/>
      <w:lvlJc w:val="left"/>
      <w:pPr>
        <w:ind w:left="3600" w:hanging="360"/>
      </w:pPr>
    </w:lvl>
    <w:lvl w:ilvl="5" w:tplc="3EDC05EE">
      <w:start w:val="1"/>
      <w:numFmt w:val="bullet"/>
      <w:lvlText w:val="■"/>
      <w:lvlJc w:val="left"/>
      <w:pPr>
        <w:ind w:left="4320" w:hanging="360"/>
      </w:pPr>
    </w:lvl>
    <w:lvl w:ilvl="6" w:tplc="D9A29532">
      <w:start w:val="1"/>
      <w:numFmt w:val="bullet"/>
      <w:lvlText w:val="●"/>
      <w:lvlJc w:val="left"/>
      <w:pPr>
        <w:ind w:left="5040" w:hanging="360"/>
      </w:pPr>
    </w:lvl>
    <w:lvl w:ilvl="7" w:tplc="02EEB054">
      <w:start w:val="1"/>
      <w:numFmt w:val="bullet"/>
      <w:lvlText w:val="●"/>
      <w:lvlJc w:val="left"/>
      <w:pPr>
        <w:ind w:left="5760" w:hanging="360"/>
      </w:pPr>
    </w:lvl>
    <w:lvl w:ilvl="8" w:tplc="172EC87A">
      <w:start w:val="1"/>
      <w:numFmt w:val="bullet"/>
      <w:lvlText w:val="●"/>
      <w:lvlJc w:val="left"/>
      <w:pPr>
        <w:ind w:left="6480" w:hanging="360"/>
      </w:pPr>
    </w:lvl>
  </w:abstractNum>
  <w:num w:numId="1" w16cid:durableId="4586901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651"/>
    <w:rsid w:val="00626EFD"/>
    <w:rsid w:val="00721651"/>
    <w:rsid w:val="00C15649"/>
    <w:rsid w:val="00E9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D9750"/>
  <w15:docId w15:val="{18FE25AE-D2AD-44FC-AEC3-B94CB77A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Rishabh Barhate</cp:lastModifiedBy>
  <cp:revision>3</cp:revision>
  <dcterms:created xsi:type="dcterms:W3CDTF">2026-06-28T09:13:00Z</dcterms:created>
  <dcterms:modified xsi:type="dcterms:W3CDTF">2026-06-28T10:54:00Z</dcterms:modified>
</cp:coreProperties>
</file>