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EDE02D" w14:textId="77777777" w:rsidR="00AC6452" w:rsidRDefault="00000000">
      <w:pPr>
        <w:spacing w:after="40"/>
        <w:jc w:val="center"/>
      </w:pPr>
      <w:r>
        <w:rPr>
          <w:b/>
          <w:bCs/>
          <w:color w:val="1B2A4A"/>
          <w:sz w:val="52"/>
          <w:szCs w:val="52"/>
        </w:rPr>
        <w:t>MICHAEL CHEN, CPA, CFA</w:t>
      </w:r>
    </w:p>
    <w:p w14:paraId="24BE00BB" w14:textId="77777777" w:rsidR="00AC6452" w:rsidRDefault="00000000">
      <w:pPr>
        <w:spacing w:after="60"/>
        <w:jc w:val="center"/>
      </w:pPr>
      <w:r>
        <w:rPr>
          <w:color w:val="555555"/>
          <w:sz w:val="22"/>
          <w:szCs w:val="22"/>
        </w:rPr>
        <w:t>Chief Financial Officer  |  Corporate Finance &amp; Investment Strategy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65"/>
        <w:gridCol w:w="2109"/>
        <w:gridCol w:w="4586"/>
      </w:tblGrid>
      <w:tr w:rsidR="00AC6452" w14:paraId="1FE725F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282ECC5E" w14:textId="77777777" w:rsidR="00AC6452" w:rsidRDefault="00000000">
            <w:pPr>
              <w:jc w:val="center"/>
            </w:pPr>
            <w:r>
              <w:rPr>
                <w:color w:val="1B2A4A"/>
                <w:sz w:val="17"/>
                <w:szCs w:val="17"/>
              </w:rPr>
              <w:t>michael.chen@cpa.com</w:t>
            </w:r>
          </w:p>
        </w:tc>
        <w:tc>
          <w:tcPr>
            <w:tcW w:w="0" w:type="auto"/>
          </w:tcPr>
          <w:p w14:paraId="26630219" w14:textId="77777777" w:rsidR="00AC6452" w:rsidRDefault="00000000">
            <w:pPr>
              <w:jc w:val="center"/>
            </w:pPr>
            <w:r>
              <w:rPr>
                <w:color w:val="1B2A4A"/>
                <w:sz w:val="17"/>
                <w:szCs w:val="17"/>
              </w:rPr>
              <w:t>+1 (212) 555-0047</w:t>
            </w:r>
          </w:p>
        </w:tc>
        <w:tc>
          <w:tcPr>
            <w:tcW w:w="0" w:type="auto"/>
          </w:tcPr>
          <w:p w14:paraId="3F544BA7" w14:textId="77777777" w:rsidR="00AC6452" w:rsidRDefault="00000000">
            <w:pPr>
              <w:jc w:val="center"/>
            </w:pPr>
            <w:r>
              <w:rPr>
                <w:color w:val="1B2A4A"/>
                <w:sz w:val="17"/>
                <w:szCs w:val="17"/>
              </w:rPr>
              <w:t>New York, NY  |  linkedin.com/in/mchen</w:t>
            </w:r>
          </w:p>
        </w:tc>
      </w:tr>
    </w:tbl>
    <w:p w14:paraId="01A7C4C8" w14:textId="77777777" w:rsidR="00AC6452" w:rsidRDefault="00AC6452">
      <w:pPr>
        <w:pBdr>
          <w:bottom w:val="double" w:sz="6" w:space="0" w:color="1B2A4A"/>
        </w:pBdr>
        <w:spacing w:before="120" w:after="160"/>
      </w:pPr>
    </w:p>
    <w:p w14:paraId="1C34D68B" w14:textId="331319D5" w:rsidR="00AC6452" w:rsidRDefault="00000000">
      <w:pPr>
        <w:spacing w:after="180"/>
      </w:pPr>
      <w:r>
        <w:rPr>
          <w:color w:val="555555"/>
          <w:sz w:val="18"/>
          <w:szCs w:val="18"/>
        </w:rPr>
        <w:t xml:space="preserve">Results-driven CFO with 15+ years of progressive finance leadership across Fortune 500 and private equity-backed companies. Expert in financial </w:t>
      </w:r>
      <w:r w:rsidR="008702E9">
        <w:rPr>
          <w:color w:val="555555"/>
          <w:sz w:val="18"/>
          <w:szCs w:val="18"/>
        </w:rPr>
        <w:t>modelling</w:t>
      </w:r>
      <w:r>
        <w:rPr>
          <w:color w:val="555555"/>
          <w:sz w:val="18"/>
          <w:szCs w:val="18"/>
        </w:rPr>
        <w:t>, M&amp;A due diligence, capital raising, and IPO preparation. Proven ability to optimize cash flow, reduce operating costs, and drive shareholder value in complex multi-national environments.</w:t>
      </w:r>
    </w:p>
    <w:p w14:paraId="32175A94" w14:textId="77777777" w:rsidR="00AC6452" w:rsidRDefault="00000000">
      <w:pPr>
        <w:pBdr>
          <w:bottom w:val="single" w:sz="8" w:space="0" w:color="C9A84C"/>
        </w:pBdr>
        <w:spacing w:before="240" w:after="80"/>
      </w:pPr>
      <w:r>
        <w:rPr>
          <w:b/>
          <w:bCs/>
          <w:color w:val="1B2A4A"/>
          <w:sz w:val="22"/>
          <w:szCs w:val="22"/>
        </w:rPr>
        <w:t>PROFESSIONAL EXPERIENCE</w:t>
      </w:r>
    </w:p>
    <w:tbl>
      <w:tblPr>
        <w:tblW w:w="99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81"/>
        <w:gridCol w:w="2943"/>
      </w:tblGrid>
      <w:tr w:rsidR="00AC6452" w14:paraId="4F239FA5" w14:textId="77777777" w:rsidTr="008702E9">
        <w:tblPrEx>
          <w:tblCellMar>
            <w:top w:w="0" w:type="dxa"/>
            <w:bottom w:w="0" w:type="dxa"/>
          </w:tblCellMar>
        </w:tblPrEx>
        <w:trPr>
          <w:trHeight w:val="440"/>
        </w:trPr>
        <w:tc>
          <w:tcPr>
            <w:tcW w:w="0" w:type="auto"/>
            <w:tcMar>
              <w:top w:w="160" w:type="dxa"/>
              <w:bottom w:w="40" w:type="dxa"/>
            </w:tcMar>
          </w:tcPr>
          <w:p w14:paraId="44FABB11" w14:textId="77777777" w:rsidR="00AC6452" w:rsidRDefault="00000000">
            <w:r>
              <w:rPr>
                <w:b/>
                <w:bCs/>
                <w:color w:val="1B2A4A"/>
              </w:rPr>
              <w:t>Chief Financial Officer</w:t>
            </w:r>
          </w:p>
          <w:p w14:paraId="61E74E75" w14:textId="77777777" w:rsidR="00AC6452" w:rsidRDefault="00000000">
            <w:r>
              <w:rPr>
                <w:i/>
                <w:iCs/>
                <w:color w:val="C9A84C"/>
                <w:sz w:val="18"/>
                <w:szCs w:val="18"/>
              </w:rPr>
              <w:t>Apex Capital Group, New York, NY</w:t>
            </w:r>
          </w:p>
        </w:tc>
        <w:tc>
          <w:tcPr>
            <w:tcW w:w="0" w:type="auto"/>
            <w:tcMar>
              <w:top w:w="160" w:type="dxa"/>
              <w:bottom w:w="40" w:type="dxa"/>
            </w:tcMar>
          </w:tcPr>
          <w:p w14:paraId="01B9C768" w14:textId="77777777" w:rsidR="00AC6452" w:rsidRDefault="00000000">
            <w:pPr>
              <w:jc w:val="right"/>
            </w:pPr>
            <w:r>
              <w:rPr>
                <w:color w:val="555555"/>
                <w:sz w:val="18"/>
                <w:szCs w:val="18"/>
              </w:rPr>
              <w:t>2019 – Present</w:t>
            </w:r>
          </w:p>
        </w:tc>
      </w:tr>
    </w:tbl>
    <w:p w14:paraId="24B065FF" w14:textId="77777777" w:rsidR="00AC6452" w:rsidRDefault="00000000">
      <w:pPr>
        <w:spacing w:after="60"/>
        <w:ind w:left="400" w:hanging="240"/>
      </w:pPr>
      <w:r>
        <w:rPr>
          <w:color w:val="C9A84C"/>
          <w:sz w:val="18"/>
          <w:szCs w:val="18"/>
        </w:rPr>
        <w:t xml:space="preserve">▪ </w:t>
      </w:r>
      <w:r>
        <w:rPr>
          <w:color w:val="333333"/>
          <w:sz w:val="18"/>
          <w:szCs w:val="18"/>
        </w:rPr>
        <w:t>Directed $480M capital raise across two rounds of institutional funding, securing terms 15% above initial projections</w:t>
      </w:r>
    </w:p>
    <w:p w14:paraId="1E45A515" w14:textId="77777777" w:rsidR="00AC6452" w:rsidRDefault="00000000">
      <w:pPr>
        <w:spacing w:after="60"/>
        <w:ind w:left="400" w:hanging="240"/>
      </w:pPr>
      <w:r>
        <w:rPr>
          <w:color w:val="C9A84C"/>
          <w:sz w:val="18"/>
          <w:szCs w:val="18"/>
        </w:rPr>
        <w:t xml:space="preserve">▪ </w:t>
      </w:r>
      <w:r>
        <w:rPr>
          <w:color w:val="333333"/>
          <w:sz w:val="18"/>
          <w:szCs w:val="18"/>
        </w:rPr>
        <w:t>Led financial integration of three strategic acquisitions totaling $320M in enterprise value</w:t>
      </w:r>
    </w:p>
    <w:p w14:paraId="70DAC801" w14:textId="77777777" w:rsidR="00AC6452" w:rsidRDefault="00000000">
      <w:pPr>
        <w:spacing w:after="60"/>
        <w:ind w:left="400" w:hanging="240"/>
      </w:pPr>
      <w:r>
        <w:rPr>
          <w:color w:val="C9A84C"/>
          <w:sz w:val="18"/>
          <w:szCs w:val="18"/>
        </w:rPr>
        <w:t xml:space="preserve">▪ </w:t>
      </w:r>
      <w:r>
        <w:rPr>
          <w:color w:val="333333"/>
          <w:sz w:val="18"/>
          <w:szCs w:val="18"/>
        </w:rPr>
        <w:t>Implemented zero-based budgeting framework reducing operating expenses by $22M annually (14% reduction)</w:t>
      </w:r>
    </w:p>
    <w:p w14:paraId="1437C31B" w14:textId="77777777" w:rsidR="00AC6452" w:rsidRDefault="00000000">
      <w:pPr>
        <w:spacing w:after="60"/>
        <w:ind w:left="400" w:hanging="240"/>
      </w:pPr>
      <w:r>
        <w:rPr>
          <w:color w:val="C9A84C"/>
          <w:sz w:val="18"/>
          <w:szCs w:val="18"/>
        </w:rPr>
        <w:t xml:space="preserve">▪ </w:t>
      </w:r>
      <w:r>
        <w:rPr>
          <w:color w:val="333333"/>
          <w:sz w:val="18"/>
          <w:szCs w:val="18"/>
        </w:rPr>
        <w:t>Prepared company for Series D IPO readiness; engaged Big 4 auditors, established GAAP reporting infrastructure</w:t>
      </w:r>
    </w:p>
    <w:p w14:paraId="3A449649" w14:textId="77777777" w:rsidR="00AC6452" w:rsidRDefault="00AC6452"/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579"/>
        <w:gridCol w:w="2344"/>
      </w:tblGrid>
      <w:tr w:rsidR="00AC6452" w14:paraId="106D3F2B" w14:textId="77777777" w:rsidTr="008702E9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0" w:type="auto"/>
            <w:tcMar>
              <w:top w:w="160" w:type="dxa"/>
              <w:bottom w:w="40" w:type="dxa"/>
            </w:tcMar>
          </w:tcPr>
          <w:p w14:paraId="74464030" w14:textId="77777777" w:rsidR="00AC6452" w:rsidRDefault="00000000">
            <w:r>
              <w:rPr>
                <w:b/>
                <w:bCs/>
                <w:color w:val="1B2A4A"/>
              </w:rPr>
              <w:t>Vice President, Corporate Finance</w:t>
            </w:r>
          </w:p>
          <w:p w14:paraId="46197131" w14:textId="77777777" w:rsidR="00AC6452" w:rsidRDefault="00000000">
            <w:r>
              <w:rPr>
                <w:i/>
                <w:iCs/>
                <w:color w:val="C9A84C"/>
                <w:sz w:val="18"/>
                <w:szCs w:val="18"/>
              </w:rPr>
              <w:t>JPMorgan Chase &amp; Co., New York, NY</w:t>
            </w:r>
          </w:p>
        </w:tc>
        <w:tc>
          <w:tcPr>
            <w:tcW w:w="0" w:type="auto"/>
            <w:tcMar>
              <w:top w:w="160" w:type="dxa"/>
              <w:bottom w:w="40" w:type="dxa"/>
            </w:tcMar>
          </w:tcPr>
          <w:p w14:paraId="5918331A" w14:textId="77777777" w:rsidR="00AC6452" w:rsidRDefault="00000000">
            <w:pPr>
              <w:jc w:val="right"/>
            </w:pPr>
            <w:r>
              <w:rPr>
                <w:color w:val="555555"/>
                <w:sz w:val="18"/>
                <w:szCs w:val="18"/>
              </w:rPr>
              <w:t>2014 – 2019</w:t>
            </w:r>
          </w:p>
        </w:tc>
      </w:tr>
    </w:tbl>
    <w:p w14:paraId="4A1D1C7A" w14:textId="77777777" w:rsidR="00AC6452" w:rsidRDefault="00000000">
      <w:pPr>
        <w:spacing w:after="60"/>
        <w:ind w:left="400" w:hanging="240"/>
      </w:pPr>
      <w:r>
        <w:rPr>
          <w:color w:val="C9A84C"/>
          <w:sz w:val="18"/>
          <w:szCs w:val="18"/>
        </w:rPr>
        <w:t xml:space="preserve">▪ </w:t>
      </w:r>
      <w:r>
        <w:rPr>
          <w:color w:val="333333"/>
          <w:sz w:val="18"/>
          <w:szCs w:val="18"/>
        </w:rPr>
        <w:t>Managed a $1.2B corporate credit portfolio with consistently below-benchmark NPL ratios</w:t>
      </w:r>
    </w:p>
    <w:p w14:paraId="59DA5593" w14:textId="77777777" w:rsidR="00AC6452" w:rsidRDefault="00000000">
      <w:pPr>
        <w:spacing w:after="60"/>
        <w:ind w:left="400" w:hanging="240"/>
      </w:pPr>
      <w:r>
        <w:rPr>
          <w:color w:val="C9A84C"/>
          <w:sz w:val="18"/>
          <w:szCs w:val="18"/>
        </w:rPr>
        <w:t xml:space="preserve">▪ </w:t>
      </w:r>
      <w:r>
        <w:rPr>
          <w:color w:val="333333"/>
          <w:sz w:val="18"/>
          <w:szCs w:val="18"/>
        </w:rPr>
        <w:t>Structured and closed 12 leveraged buyout transactions valued between $50M and $250M</w:t>
      </w:r>
    </w:p>
    <w:p w14:paraId="2811DFC4" w14:textId="77777777" w:rsidR="00AC6452" w:rsidRDefault="00000000">
      <w:pPr>
        <w:spacing w:after="60"/>
        <w:ind w:left="400" w:hanging="240"/>
      </w:pPr>
      <w:r>
        <w:rPr>
          <w:color w:val="C9A84C"/>
          <w:sz w:val="18"/>
          <w:szCs w:val="18"/>
        </w:rPr>
        <w:t xml:space="preserve">▪ </w:t>
      </w:r>
      <w:r>
        <w:rPr>
          <w:color w:val="333333"/>
          <w:sz w:val="18"/>
          <w:szCs w:val="18"/>
        </w:rPr>
        <w:t>Led team of 9 analysts and associates, achieving #1 division ranking for two consecutive years</w:t>
      </w:r>
    </w:p>
    <w:p w14:paraId="50C2233D" w14:textId="77777777" w:rsidR="00AC6452" w:rsidRDefault="00AC6452"/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75"/>
        <w:gridCol w:w="2614"/>
      </w:tblGrid>
      <w:tr w:rsidR="00AC6452" w14:paraId="31F9498B" w14:textId="77777777" w:rsidTr="008702E9">
        <w:tblPrEx>
          <w:tblCellMar>
            <w:top w:w="0" w:type="dxa"/>
            <w:bottom w:w="0" w:type="dxa"/>
          </w:tblCellMar>
        </w:tblPrEx>
        <w:trPr>
          <w:trHeight w:val="429"/>
        </w:trPr>
        <w:tc>
          <w:tcPr>
            <w:tcW w:w="0" w:type="auto"/>
            <w:tcMar>
              <w:top w:w="160" w:type="dxa"/>
              <w:bottom w:w="40" w:type="dxa"/>
            </w:tcMar>
          </w:tcPr>
          <w:p w14:paraId="42CECE7A" w14:textId="77777777" w:rsidR="00AC6452" w:rsidRDefault="00000000">
            <w:r>
              <w:rPr>
                <w:b/>
                <w:bCs/>
                <w:color w:val="1B2A4A"/>
              </w:rPr>
              <w:t>Senior Financial Analyst</w:t>
            </w:r>
          </w:p>
          <w:p w14:paraId="12D3E6B4" w14:textId="77777777" w:rsidR="00AC6452" w:rsidRDefault="00000000">
            <w:r>
              <w:rPr>
                <w:i/>
                <w:iCs/>
                <w:color w:val="C9A84C"/>
                <w:sz w:val="18"/>
                <w:szCs w:val="18"/>
              </w:rPr>
              <w:t>Ernst &amp; Young LLP, New York, NY</w:t>
            </w:r>
          </w:p>
        </w:tc>
        <w:tc>
          <w:tcPr>
            <w:tcW w:w="0" w:type="auto"/>
            <w:tcMar>
              <w:top w:w="160" w:type="dxa"/>
              <w:bottom w:w="40" w:type="dxa"/>
            </w:tcMar>
          </w:tcPr>
          <w:p w14:paraId="66464CB3" w14:textId="77777777" w:rsidR="00AC6452" w:rsidRDefault="00000000">
            <w:pPr>
              <w:jc w:val="right"/>
            </w:pPr>
            <w:r>
              <w:rPr>
                <w:color w:val="555555"/>
                <w:sz w:val="18"/>
                <w:szCs w:val="18"/>
              </w:rPr>
              <w:t>2010 – 2014</w:t>
            </w:r>
          </w:p>
        </w:tc>
      </w:tr>
    </w:tbl>
    <w:p w14:paraId="43871D28" w14:textId="77777777" w:rsidR="00AC6452" w:rsidRDefault="00000000">
      <w:pPr>
        <w:spacing w:after="60"/>
        <w:ind w:left="400" w:hanging="240"/>
      </w:pPr>
      <w:r>
        <w:rPr>
          <w:color w:val="C9A84C"/>
          <w:sz w:val="18"/>
          <w:szCs w:val="18"/>
        </w:rPr>
        <w:t xml:space="preserve">▪ </w:t>
      </w:r>
      <w:r>
        <w:rPr>
          <w:color w:val="333333"/>
          <w:sz w:val="18"/>
          <w:szCs w:val="18"/>
        </w:rPr>
        <w:t>Conducted financial statement audits and due diligence for clients across financial services and healthcare sectors</w:t>
      </w:r>
    </w:p>
    <w:p w14:paraId="31766232" w14:textId="77777777" w:rsidR="00AC6452" w:rsidRDefault="00000000">
      <w:pPr>
        <w:spacing w:after="60"/>
        <w:ind w:left="400" w:hanging="240"/>
      </w:pPr>
      <w:r>
        <w:rPr>
          <w:color w:val="C9A84C"/>
          <w:sz w:val="18"/>
          <w:szCs w:val="18"/>
        </w:rPr>
        <w:t xml:space="preserve">▪ </w:t>
      </w:r>
      <w:r>
        <w:rPr>
          <w:color w:val="333333"/>
          <w:sz w:val="18"/>
          <w:szCs w:val="18"/>
        </w:rPr>
        <w:t>Identified $8M in tax optimization opportunities for a mid-market manufacturing client</w:t>
      </w:r>
    </w:p>
    <w:p w14:paraId="25A1E9C3" w14:textId="77777777" w:rsidR="00AC6452" w:rsidRDefault="00000000">
      <w:pPr>
        <w:pBdr>
          <w:bottom w:val="single" w:sz="8" w:space="0" w:color="C9A84C"/>
        </w:pBdr>
        <w:spacing w:before="240" w:after="80"/>
      </w:pPr>
      <w:r>
        <w:rPr>
          <w:b/>
          <w:bCs/>
          <w:color w:val="1B2A4A"/>
          <w:sz w:val="22"/>
          <w:szCs w:val="22"/>
        </w:rPr>
        <w:t>EDUCATION</w:t>
      </w:r>
    </w:p>
    <w:tbl>
      <w:tblPr>
        <w:tblW w:w="99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907"/>
        <w:gridCol w:w="1000"/>
      </w:tblGrid>
      <w:tr w:rsidR="00AC6452" w14:paraId="016CBDEE" w14:textId="77777777" w:rsidTr="008702E9">
        <w:tblPrEx>
          <w:tblCellMar>
            <w:top w:w="0" w:type="dxa"/>
            <w:bottom w:w="0" w:type="dxa"/>
          </w:tblCellMar>
        </w:tblPrEx>
        <w:trPr>
          <w:trHeight w:val="471"/>
        </w:trPr>
        <w:tc>
          <w:tcPr>
            <w:tcW w:w="0" w:type="auto"/>
            <w:tcMar>
              <w:top w:w="120" w:type="dxa"/>
              <w:bottom w:w="60" w:type="dxa"/>
            </w:tcMar>
          </w:tcPr>
          <w:p w14:paraId="4F91B043" w14:textId="77777777" w:rsidR="00AC6452" w:rsidRDefault="00000000">
            <w:r>
              <w:rPr>
                <w:b/>
                <w:bCs/>
                <w:color w:val="1B2A4A"/>
                <w:sz w:val="19"/>
                <w:szCs w:val="19"/>
              </w:rPr>
              <w:t>M.B.A., Finance &amp; Accounting</w:t>
            </w:r>
          </w:p>
          <w:p w14:paraId="2323CCB0" w14:textId="77777777" w:rsidR="00AC6452" w:rsidRDefault="00000000">
            <w:r>
              <w:rPr>
                <w:i/>
                <w:iCs/>
                <w:color w:val="555555"/>
                <w:sz w:val="18"/>
                <w:szCs w:val="18"/>
              </w:rPr>
              <w:t>Wharton School, University of Pennsylvania</w:t>
            </w:r>
          </w:p>
        </w:tc>
        <w:tc>
          <w:tcPr>
            <w:tcW w:w="0" w:type="auto"/>
            <w:tcMar>
              <w:top w:w="120" w:type="dxa"/>
            </w:tcMar>
          </w:tcPr>
          <w:p w14:paraId="2F704751" w14:textId="77777777" w:rsidR="00AC6452" w:rsidRDefault="00000000">
            <w:pPr>
              <w:jc w:val="right"/>
            </w:pPr>
            <w:r>
              <w:rPr>
                <w:color w:val="555555"/>
                <w:sz w:val="18"/>
                <w:szCs w:val="18"/>
              </w:rPr>
              <w:t>2010</w:t>
            </w:r>
          </w:p>
        </w:tc>
      </w:tr>
      <w:tr w:rsidR="00AC6452" w14:paraId="083ADD82" w14:textId="77777777" w:rsidTr="008702E9">
        <w:tblPrEx>
          <w:tblCellMar>
            <w:top w:w="0" w:type="dxa"/>
            <w:bottom w:w="0" w:type="dxa"/>
          </w:tblCellMar>
        </w:tblPrEx>
        <w:trPr>
          <w:trHeight w:val="491"/>
        </w:trPr>
        <w:tc>
          <w:tcPr>
            <w:tcW w:w="0" w:type="auto"/>
            <w:tcMar>
              <w:top w:w="60" w:type="dxa"/>
              <w:bottom w:w="60" w:type="dxa"/>
            </w:tcMar>
          </w:tcPr>
          <w:p w14:paraId="43BEFC39" w14:textId="77777777" w:rsidR="00AC6452" w:rsidRDefault="00000000">
            <w:r>
              <w:rPr>
                <w:b/>
                <w:bCs/>
                <w:color w:val="1B2A4A"/>
                <w:sz w:val="19"/>
                <w:szCs w:val="19"/>
              </w:rPr>
              <w:t>B.S., Accounting (Summa Cum Laude)</w:t>
            </w:r>
          </w:p>
          <w:p w14:paraId="10DEE95B" w14:textId="77777777" w:rsidR="00AC6452" w:rsidRDefault="00000000">
            <w:r>
              <w:rPr>
                <w:i/>
                <w:iCs/>
                <w:color w:val="555555"/>
                <w:sz w:val="18"/>
                <w:szCs w:val="18"/>
              </w:rPr>
              <w:t>New York University, Stern School of Business</w:t>
            </w:r>
          </w:p>
        </w:tc>
        <w:tc>
          <w:tcPr>
            <w:tcW w:w="0" w:type="auto"/>
            <w:tcMar>
              <w:top w:w="60" w:type="dxa"/>
            </w:tcMar>
          </w:tcPr>
          <w:p w14:paraId="52AB1469" w14:textId="77777777" w:rsidR="00AC6452" w:rsidRDefault="00000000">
            <w:pPr>
              <w:jc w:val="right"/>
            </w:pPr>
            <w:r>
              <w:rPr>
                <w:color w:val="555555"/>
                <w:sz w:val="18"/>
                <w:szCs w:val="18"/>
              </w:rPr>
              <w:t>2008</w:t>
            </w:r>
          </w:p>
        </w:tc>
      </w:tr>
    </w:tbl>
    <w:p w14:paraId="55508424" w14:textId="77777777" w:rsidR="00AC6452" w:rsidRDefault="00000000">
      <w:pPr>
        <w:pBdr>
          <w:bottom w:val="single" w:sz="8" w:space="0" w:color="C9A84C"/>
        </w:pBdr>
        <w:spacing w:before="240" w:after="80"/>
      </w:pPr>
      <w:r>
        <w:rPr>
          <w:b/>
          <w:bCs/>
          <w:color w:val="1B2A4A"/>
          <w:sz w:val="22"/>
          <w:szCs w:val="22"/>
        </w:rPr>
        <w:t>CERTIFICATIONS &amp; AFFILIATIONS</w:t>
      </w:r>
    </w:p>
    <w:tbl>
      <w:tblPr>
        <w:tblW w:w="99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48"/>
        <w:gridCol w:w="5092"/>
      </w:tblGrid>
      <w:tr w:rsidR="00AC6452" w14:paraId="736A591D" w14:textId="77777777" w:rsidTr="008702E9">
        <w:tblPrEx>
          <w:tblCellMar>
            <w:top w:w="0" w:type="dxa"/>
            <w:bottom w:w="0" w:type="dxa"/>
          </w:tblCellMar>
        </w:tblPrEx>
        <w:trPr>
          <w:trHeight w:val="998"/>
        </w:trPr>
        <w:tc>
          <w:tcPr>
            <w:tcW w:w="0" w:type="auto"/>
          </w:tcPr>
          <w:p w14:paraId="0CEA3099" w14:textId="77777777" w:rsidR="00AC6452" w:rsidRDefault="00000000">
            <w:pPr>
              <w:spacing w:before="120"/>
            </w:pPr>
            <w:r>
              <w:rPr>
                <w:color w:val="555555"/>
                <w:sz w:val="18"/>
                <w:szCs w:val="18"/>
              </w:rPr>
              <w:t>Certified Public Accountant (CPA) – AICPA</w:t>
            </w:r>
          </w:p>
          <w:p w14:paraId="0F57170E" w14:textId="77777777" w:rsidR="00AC6452" w:rsidRDefault="00000000">
            <w:r>
              <w:rPr>
                <w:color w:val="555555"/>
                <w:sz w:val="18"/>
                <w:szCs w:val="18"/>
              </w:rPr>
              <w:t>Chartered Financial Analyst (CFA) – Level III</w:t>
            </w:r>
          </w:p>
        </w:tc>
        <w:tc>
          <w:tcPr>
            <w:tcW w:w="0" w:type="auto"/>
          </w:tcPr>
          <w:p w14:paraId="1B1C33C7" w14:textId="77777777" w:rsidR="00AC6452" w:rsidRDefault="00000000">
            <w:pPr>
              <w:spacing w:before="120"/>
            </w:pPr>
            <w:r>
              <w:rPr>
                <w:color w:val="555555"/>
                <w:sz w:val="18"/>
                <w:szCs w:val="18"/>
              </w:rPr>
              <w:t>Member, American Finance Association</w:t>
            </w:r>
          </w:p>
          <w:p w14:paraId="23FB1BE8" w14:textId="77777777" w:rsidR="00AC6452" w:rsidRDefault="00000000">
            <w:r>
              <w:rPr>
                <w:color w:val="555555"/>
                <w:sz w:val="18"/>
                <w:szCs w:val="18"/>
              </w:rPr>
              <w:t>Board Observer, Fintech NYC Advisory Council</w:t>
            </w:r>
          </w:p>
        </w:tc>
      </w:tr>
    </w:tbl>
    <w:p w14:paraId="51E99276" w14:textId="77777777" w:rsidR="00AC6452" w:rsidRDefault="00000000">
      <w:pPr>
        <w:pBdr>
          <w:bottom w:val="single" w:sz="8" w:space="0" w:color="C9A84C"/>
        </w:pBdr>
        <w:spacing w:before="240" w:after="80"/>
      </w:pPr>
      <w:r>
        <w:rPr>
          <w:b/>
          <w:bCs/>
          <w:color w:val="1B2A4A"/>
          <w:sz w:val="22"/>
          <w:szCs w:val="22"/>
        </w:rPr>
        <w:t>CORE COMPETENCIES</w:t>
      </w:r>
    </w:p>
    <w:p w14:paraId="08A4AC7C" w14:textId="77777777" w:rsidR="00AC6452" w:rsidRDefault="00000000">
      <w:pPr>
        <w:spacing w:before="120"/>
      </w:pPr>
      <w:r>
        <w:rPr>
          <w:color w:val="555555"/>
          <w:sz w:val="18"/>
          <w:szCs w:val="18"/>
        </w:rPr>
        <w:t>Financial Modeling &amp; Valuation  •  M&amp;A Due Diligence  •  Capital Markets  •  GAAP/IFRS Compliance  •  Treasury Management  •  Budget Forecasting  •  ERP Systems (SAP, Oracle)  •  Board Reporting  •  Risk Management  •  Strategic Planning</w:t>
      </w:r>
    </w:p>
    <w:sectPr w:rsidR="00AC6452">
      <w:pgSz w:w="12240" w:h="15840"/>
      <w:pgMar w:top="1080" w:right="1080" w:bottom="1080" w:left="108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5121C3"/>
    <w:multiLevelType w:val="hybridMultilevel"/>
    <w:tmpl w:val="F070BC98"/>
    <w:lvl w:ilvl="0" w:tplc="AD88CBFC">
      <w:start w:val="1"/>
      <w:numFmt w:val="bullet"/>
      <w:lvlText w:val="●"/>
      <w:lvlJc w:val="left"/>
      <w:pPr>
        <w:ind w:left="720" w:hanging="360"/>
      </w:pPr>
    </w:lvl>
    <w:lvl w:ilvl="1" w:tplc="3C10BC7C">
      <w:start w:val="1"/>
      <w:numFmt w:val="bullet"/>
      <w:lvlText w:val="○"/>
      <w:lvlJc w:val="left"/>
      <w:pPr>
        <w:ind w:left="1440" w:hanging="360"/>
      </w:pPr>
    </w:lvl>
    <w:lvl w:ilvl="2" w:tplc="63565370">
      <w:start w:val="1"/>
      <w:numFmt w:val="bullet"/>
      <w:lvlText w:val="■"/>
      <w:lvlJc w:val="left"/>
      <w:pPr>
        <w:ind w:left="2160" w:hanging="360"/>
      </w:pPr>
    </w:lvl>
    <w:lvl w:ilvl="3" w:tplc="81A072CE">
      <w:start w:val="1"/>
      <w:numFmt w:val="bullet"/>
      <w:lvlText w:val="●"/>
      <w:lvlJc w:val="left"/>
      <w:pPr>
        <w:ind w:left="2880" w:hanging="360"/>
      </w:pPr>
    </w:lvl>
    <w:lvl w:ilvl="4" w:tplc="CBDE7C32">
      <w:start w:val="1"/>
      <w:numFmt w:val="bullet"/>
      <w:lvlText w:val="○"/>
      <w:lvlJc w:val="left"/>
      <w:pPr>
        <w:ind w:left="3600" w:hanging="360"/>
      </w:pPr>
    </w:lvl>
    <w:lvl w:ilvl="5" w:tplc="F932B87C">
      <w:start w:val="1"/>
      <w:numFmt w:val="bullet"/>
      <w:lvlText w:val="■"/>
      <w:lvlJc w:val="left"/>
      <w:pPr>
        <w:ind w:left="4320" w:hanging="360"/>
      </w:pPr>
    </w:lvl>
    <w:lvl w:ilvl="6" w:tplc="07E40110">
      <w:start w:val="1"/>
      <w:numFmt w:val="bullet"/>
      <w:lvlText w:val="●"/>
      <w:lvlJc w:val="left"/>
      <w:pPr>
        <w:ind w:left="5040" w:hanging="360"/>
      </w:pPr>
    </w:lvl>
    <w:lvl w:ilvl="7" w:tplc="19BCABBA">
      <w:start w:val="1"/>
      <w:numFmt w:val="bullet"/>
      <w:lvlText w:val="●"/>
      <w:lvlJc w:val="left"/>
      <w:pPr>
        <w:ind w:left="5760" w:hanging="360"/>
      </w:pPr>
    </w:lvl>
    <w:lvl w:ilvl="8" w:tplc="96D034B2">
      <w:start w:val="1"/>
      <w:numFmt w:val="bullet"/>
      <w:lvlText w:val="●"/>
      <w:lvlJc w:val="left"/>
      <w:pPr>
        <w:ind w:left="6480" w:hanging="360"/>
      </w:pPr>
    </w:lvl>
  </w:abstractNum>
  <w:num w:numId="1" w16cid:durableId="139520361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6452"/>
    <w:rsid w:val="00360023"/>
    <w:rsid w:val="008702E9"/>
    <w:rsid w:val="00AC6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F84E66"/>
  <w15:docId w15:val="{A9FA676C-E5C1-42CE-8D6E-AE18DADA9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344</Words>
  <Characters>1967</Characters>
  <Application>Microsoft Office Word</Application>
  <DocSecurity>0</DocSecurity>
  <Lines>16</Lines>
  <Paragraphs>4</Paragraphs>
  <ScaleCrop>false</ScaleCrop>
  <Company/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Rishabh Barhate</cp:lastModifiedBy>
  <cp:revision>3</cp:revision>
  <dcterms:created xsi:type="dcterms:W3CDTF">2026-06-28T09:12:00Z</dcterms:created>
  <dcterms:modified xsi:type="dcterms:W3CDTF">2026-06-28T10:53:00Z</dcterms:modified>
</cp:coreProperties>
</file>