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1A1A2E" w:val="clear"/>
            <w:tcMar>
              <w:top w:type="dxa" w:w="280"/>
              <w:left w:type="dxa" w:w="400"/>
              <w:bottom w:type="dxa" w:w="280"/>
              <w:right w:type="dxa" w:w="400"/>
            </w:tcMar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52"/>
                <w:szCs w:val="52"/>
              </w:rPr>
              <w:t xml:space="preserve">JAMES RICHARDSON, CPA, CFA</w:t>
            </w:r>
          </w:p>
          <w:p>
            <w:pPr>
              <w:spacing w:after="80"/>
              <w:jc w:val="center"/>
            </w:pPr>
            <w:r>
              <w:rPr>
                <w:rFonts w:ascii="Georgia" w:cs="Georgia" w:eastAsia="Georgia" w:hAnsi="Georgia"/>
                <w:color w:val="C9A84C"/>
                <w:sz w:val="24"/>
                <w:szCs w:val="24"/>
              </w:rPr>
              <w:t xml:space="preserve">Vice President · Corporate Finance &amp; Investment Analysis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color w:val="BBBBBB"/>
                <w:sz w:val="18"/>
                <w:szCs w:val="18"/>
              </w:rPr>
              <w:t xml:space="preserve">james.richardson@email.com   |   (312) 555-0271   |   Chicago, IL   |   linkedin.com/in/jamesrichardson</w:t>
            </w:r>
          </w:p>
        </w:tc>
      </w:tr>
    </w:tbl>
    <w:p>
      <w:pPr>
        <w:spacing w:after="140"/>
      </w:pPr>
    </w:p>
    <w:p>
      <w:pPr>
        <w:pBdr>
          <w:bottom w:val="single" w:color="C9A84C" w:sz="6" w:space="4"/>
        </w:pBdr>
        <w:spacing w:after="100" w:before="240"/>
      </w:pPr>
      <w:r>
        <w:rPr>
          <w:rFonts w:ascii="Georgia" w:cs="Georgia" w:eastAsia="Georgia" w:hAnsi="Georgia"/>
          <w:b/>
          <w:bCs/>
          <w:caps/>
          <w:color w:val="1A1A2E"/>
          <w:sz w:val="22"/>
          <w:szCs w:val="22"/>
        </w:rPr>
        <w:t xml:space="preserve">Executive Summary</w:t>
      </w:r>
    </w:p>
    <w:p>
      <w:pPr>
        <w:spacing w:after="120"/>
      </w:pPr>
      <w:r>
        <w:rPr>
          <w:rFonts w:ascii="Georgia" w:cs="Georgia" w:eastAsia="Georgia" w:hAnsi="Georgia"/>
          <w:sz w:val="20"/>
          <w:szCs w:val="20"/>
        </w:rPr>
        <w:t xml:space="preserve">Finance executive with 12 years of progressive experience in corporate finance, M&amp;A advisory, and investment analysis. CPA and CFA charterholder with demonstrated success managing $500M+ in assets, leading complex financial modeling, and advising C-suite leadership on strategic initiatives. Track record of improving operational efficiency and driving profitable growth.</w:t>
      </w:r>
    </w:p>
    <w:p>
      <w:pPr>
        <w:pBdr>
          <w:bottom w:val="single" w:color="C9A84C" w:sz="6" w:space="4"/>
        </w:pBdr>
        <w:spacing w:after="100" w:before="240"/>
      </w:pPr>
      <w:r>
        <w:rPr>
          <w:rFonts w:ascii="Georgia" w:cs="Georgia" w:eastAsia="Georgia" w:hAnsi="Georgia"/>
          <w:b/>
          <w:bCs/>
          <w:caps/>
          <w:color w:val="1A1A2E"/>
          <w:sz w:val="22"/>
          <w:szCs w:val="22"/>
        </w:rPr>
        <w:t xml:space="preserve">Core Competencies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shd w:fill="FDF6E3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Financial Planning &amp; Analysis</w:t>
            </w:r>
          </w:p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M&amp;A Due Diligence</w:t>
            </w:r>
          </w:p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Valuation &amp; Financial Modeling</w:t>
            </w:r>
          </w:p>
        </w:tc>
        <w:tc>
          <w:tcPr>
            <w:tcW w:type="dxa" w:w="3360"/>
            <w:shd w:fill="FDF6E3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Budget Management ($500M+)</w:t>
            </w:r>
          </w:p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Investor Relations</w:t>
            </w:r>
          </w:p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Risk Assessment &amp; Compliance</w:t>
            </w:r>
          </w:p>
        </w:tc>
        <w:tc>
          <w:tcPr>
            <w:tcW w:type="dxa" w:w="3360"/>
            <w:shd w:fill="FDF6E3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Capital Markets &amp; Fundraising</w:t>
            </w:r>
          </w:p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Treasury &amp; Cash Management</w:t>
            </w:r>
          </w:p>
          <w:p>
            <w:r>
              <w:rPr>
                <w:rFonts w:ascii="Georgia" w:cs="Georgia" w:eastAsia="Georgia" w:hAnsi="Georgia"/>
                <w:sz w:val="19"/>
                <w:szCs w:val="19"/>
              </w:rPr>
              <w:t xml:space="preserve">ERP Systems (SAP, Oracle)</w:t>
            </w:r>
          </w:p>
        </w:tc>
      </w:tr>
    </w:tbl>
    <w:p>
      <w:pPr>
        <w:spacing w:after="80"/>
      </w:pPr>
    </w:p>
    <w:p>
      <w:pPr>
        <w:pBdr>
          <w:bottom w:val="single" w:color="C9A84C" w:sz="6" w:space="4"/>
        </w:pBdr>
        <w:spacing w:after="100" w:before="240"/>
      </w:pPr>
      <w:r>
        <w:rPr>
          <w:rFonts w:ascii="Georgia" w:cs="Georgia" w:eastAsia="Georgia" w:hAnsi="Georgia"/>
          <w:b/>
          <w:bCs/>
          <w:caps/>
          <w:color w:val="1A1A2E"/>
          <w:sz w:val="22"/>
          <w:szCs w:val="22"/>
        </w:rPr>
        <w:t xml:space="preserve">Professional Experience</w:t>
      </w:r>
    </w:p>
    <w:p>
      <w:pPr>
        <w:spacing w:after="40" w:before="160"/>
      </w:pPr>
      <w:r>
        <w:rPr>
          <w:rFonts w:ascii="Georgia" w:cs="Georgia" w:eastAsia="Georgia" w:hAnsi="Georgia"/>
          <w:b/>
          <w:bCs/>
          <w:color w:val="1A1A2E"/>
          <w:sz w:val="22"/>
          <w:szCs w:val="22"/>
        </w:rPr>
        <w:t xml:space="preserve">Vice President, Corporate Finance</w:t>
      </w:r>
      <w:r>
        <w:rPr>
          <w:rFonts w:ascii="Georgia" w:cs="Georgia" w:eastAsia="Georgia" w:hAnsi="Georgia"/>
          <w:color w:val="444444"/>
          <w:sz w:val="21"/>
          <w:szCs w:val="21"/>
        </w:rPr>
        <w:t xml:space="preserve"> · JPMorgan Chase &amp; Co.</w:t>
      </w:r>
      <w:r>
        <w:rPr>
          <w:rFonts w:ascii="Georgia" w:cs="Georgia" w:eastAsia="Georgia" w:hAnsi="Georgia"/>
          <w:i/>
          <w:iCs/>
          <w:color w:val="888888"/>
          <w:sz w:val="19"/>
          <w:szCs w:val="19"/>
        </w:rPr>
        <w:t xml:space="preserve">  (2019 – Present)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Oversee $500M corporate investment portfolio, consistently achieving returns 4% above benchmark.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Led financial due diligence for 7 M&amp;A transactions totaling $2.3B in deal value, successfully closing 6.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Built and maintained complex LBO, DCF, and comparable company analysis models used for board-level decisions.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Directed annual budgeting and forecasting for a 3,000-person division with $800M in operating expenses.</w:t>
      </w:r>
    </w:p>
    <w:p>
      <w:pPr>
        <w:spacing w:after="40" w:before="160"/>
      </w:pPr>
      <w:r>
        <w:rPr>
          <w:rFonts w:ascii="Georgia" w:cs="Georgia" w:eastAsia="Georgia" w:hAnsi="Georgia"/>
          <w:b/>
          <w:bCs/>
          <w:color w:val="1A1A2E"/>
          <w:sz w:val="22"/>
          <w:szCs w:val="22"/>
        </w:rPr>
        <w:t xml:space="preserve">Senior Financial Analyst</w:t>
      </w:r>
      <w:r>
        <w:rPr>
          <w:rFonts w:ascii="Georgia" w:cs="Georgia" w:eastAsia="Georgia" w:hAnsi="Georgia"/>
          <w:color w:val="444444"/>
          <w:sz w:val="21"/>
          <w:szCs w:val="21"/>
        </w:rPr>
        <w:t xml:space="preserve"> · Deloitte Corporate Finance</w:t>
      </w:r>
      <w:r>
        <w:rPr>
          <w:rFonts w:ascii="Georgia" w:cs="Georgia" w:eastAsia="Georgia" w:hAnsi="Georgia"/>
          <w:i/>
          <w:iCs/>
          <w:color w:val="888888"/>
          <w:sz w:val="19"/>
          <w:szCs w:val="19"/>
        </w:rPr>
        <w:t xml:space="preserve">  (2015 – 2019)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Provided M&amp;A advisory services for mid-market clients across healthcare, technology, and industrial sectors.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Prepared investor presentations and financial memoranda for deals ranging from $50M to $400M.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Developed a proprietary industry benchmarking model adopted firm-wide, saving 120 analyst hours per quarter.</w:t>
      </w:r>
    </w:p>
    <w:p>
      <w:pPr>
        <w:spacing w:after="40" w:before="160"/>
      </w:pPr>
      <w:r>
        <w:rPr>
          <w:rFonts w:ascii="Georgia" w:cs="Georgia" w:eastAsia="Georgia" w:hAnsi="Georgia"/>
          <w:b/>
          <w:bCs/>
          <w:color w:val="1A1A2E"/>
          <w:sz w:val="22"/>
          <w:szCs w:val="22"/>
        </w:rPr>
        <w:t xml:space="preserve">Financial Analyst</w:t>
      </w:r>
      <w:r>
        <w:rPr>
          <w:rFonts w:ascii="Georgia" w:cs="Georgia" w:eastAsia="Georgia" w:hAnsi="Georgia"/>
          <w:color w:val="444444"/>
          <w:sz w:val="21"/>
          <w:szCs w:val="21"/>
        </w:rPr>
        <w:t xml:space="preserve"> · Northern Trust</w:t>
      </w:r>
      <w:r>
        <w:rPr>
          <w:rFonts w:ascii="Georgia" w:cs="Georgia" w:eastAsia="Georgia" w:hAnsi="Georgia"/>
          <w:i/>
          <w:iCs/>
          <w:color w:val="888888"/>
          <w:sz w:val="19"/>
          <w:szCs w:val="19"/>
        </w:rPr>
        <w:t xml:space="preserve">  (2012 – 2015)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Analyzed equity and fixed income portfolios for institutional clients managing $1B+ in AUM.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sz w:val="20"/>
          <w:szCs w:val="20"/>
        </w:rPr>
        <w:t xml:space="preserve">Conducted sector research and built valuation models to support portfolio manager investment decisions.</w:t>
      </w:r>
    </w:p>
    <w:p>
      <w:pPr>
        <w:pBdr>
          <w:bottom w:val="single" w:color="C9A84C" w:sz="6" w:space="4"/>
        </w:pBdr>
        <w:spacing w:after="100" w:before="240"/>
      </w:pPr>
      <w:r>
        <w:rPr>
          <w:rFonts w:ascii="Georgia" w:cs="Georgia" w:eastAsia="Georgia" w:hAnsi="Georgia"/>
          <w:b/>
          <w:bCs/>
          <w:caps/>
          <w:color w:val="1A1A2E"/>
          <w:sz w:val="22"/>
          <w:szCs w:val="22"/>
        </w:rPr>
        <w:t xml:space="preserve">Education &amp; Credentials</w:t>
      </w:r>
    </w:p>
    <w:p>
      <w:pPr>
        <w:spacing w:after="60" w:before="10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MBA, Finance (Honors)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  —  University of Chicago, Booth School of Business  |  2012</w:t>
      </w:r>
    </w:p>
    <w:p>
      <w:pPr>
        <w:spacing w:after="6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B.S. Accounting (Magna Cum Laude)</w:t>
      </w:r>
      <w:r>
        <w:rPr>
          <w:rFonts w:ascii="Georgia" w:cs="Georgia" w:eastAsia="Georgia" w:hAnsi="Georgia"/>
          <w:color w:val="555555"/>
          <w:sz w:val="20"/>
          <w:szCs w:val="20"/>
        </w:rPr>
        <w:t xml:space="preserve">  —  University of Illinois at Urbana-Champaign  |  2010</w:t>
      </w:r>
    </w:p>
    <w:p>
      <w:pPr>
        <w:spacing w:after="60"/>
      </w:pPr>
      <w:r>
        <w:rPr>
          <w:rFonts w:ascii="Georgia" w:cs="Georgia" w:eastAsia="Georgia" w:hAnsi="Georgia"/>
          <w:b/>
          <w:bCs/>
          <w:color w:val="1A1A2E"/>
          <w:sz w:val="20"/>
          <w:szCs w:val="20"/>
        </w:rPr>
        <w:t xml:space="preserve">Certifications: </w:t>
      </w:r>
      <w:r>
        <w:rPr>
          <w:rFonts w:ascii="Georgia" w:cs="Georgia" w:eastAsia="Georgia" w:hAnsi="Georgia"/>
          <w:sz w:val="20"/>
          <w:szCs w:val="20"/>
        </w:rPr>
        <w:t xml:space="preserve">CPA (Illinois)  •  CFA Charterholder (Level III)  •  Series 7 &amp; 63 Licensed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2026-06-28T08:57:47.598Z</dcterms:created>
  <dcterms:modified xsi:type="dcterms:W3CDTF">2026-06-28T08:57:47.599Z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